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255AB" w14:textId="77777777" w:rsidR="00781DE2" w:rsidRPr="00965945" w:rsidRDefault="00781DE2" w:rsidP="00781DE2">
      <w:pPr>
        <w:jc w:val="center"/>
        <w:rPr>
          <w:b/>
          <w:sz w:val="26"/>
          <w:szCs w:val="26"/>
        </w:rPr>
      </w:pPr>
      <w:r w:rsidRPr="00965945">
        <w:rPr>
          <w:b/>
          <w:sz w:val="26"/>
          <w:szCs w:val="26"/>
        </w:rPr>
        <w:t>Corso di Laurea magistrale in Giurisprudenza</w:t>
      </w:r>
    </w:p>
    <w:p w14:paraId="0C1D7C28" w14:textId="77777777" w:rsidR="00781DE2" w:rsidRPr="00965945" w:rsidRDefault="00781DE2" w:rsidP="00781DE2">
      <w:pPr>
        <w:jc w:val="center"/>
        <w:rPr>
          <w:sz w:val="26"/>
          <w:szCs w:val="26"/>
        </w:rPr>
      </w:pPr>
      <w:r w:rsidRPr="00965945">
        <w:rPr>
          <w:sz w:val="26"/>
          <w:szCs w:val="26"/>
        </w:rPr>
        <w:t>Insegnamento formativo a libera scelta</w:t>
      </w:r>
    </w:p>
    <w:p w14:paraId="6230C7E5" w14:textId="274E7ABE" w:rsidR="00781DE2" w:rsidRPr="00965945" w:rsidRDefault="00781DE2" w:rsidP="00781DE2">
      <w:pPr>
        <w:jc w:val="center"/>
        <w:rPr>
          <w:b/>
          <w:sz w:val="26"/>
          <w:szCs w:val="26"/>
        </w:rPr>
      </w:pPr>
      <w:r w:rsidRPr="00965945">
        <w:rPr>
          <w:b/>
          <w:sz w:val="26"/>
          <w:szCs w:val="26"/>
        </w:rPr>
        <w:t>Diritto P</w:t>
      </w:r>
      <w:r w:rsidR="00DC166A">
        <w:rPr>
          <w:b/>
          <w:sz w:val="26"/>
          <w:szCs w:val="26"/>
        </w:rPr>
        <w:t>enale della Medicina</w:t>
      </w:r>
      <w:r w:rsidRPr="00965945">
        <w:rPr>
          <w:b/>
          <w:sz w:val="26"/>
          <w:szCs w:val="26"/>
        </w:rPr>
        <w:t xml:space="preserve"> </w:t>
      </w:r>
    </w:p>
    <w:p w14:paraId="04719355" w14:textId="62FBB960" w:rsidR="00781DE2" w:rsidRPr="00965945" w:rsidRDefault="00781DE2" w:rsidP="00781D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Anno accademico 202</w:t>
      </w:r>
      <w:r w:rsidR="003610DF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/202</w:t>
      </w:r>
      <w:r w:rsidR="003610DF">
        <w:rPr>
          <w:b/>
          <w:sz w:val="26"/>
          <w:szCs w:val="26"/>
        </w:rPr>
        <w:t>4</w:t>
      </w:r>
      <w:bookmarkStart w:id="0" w:name="_GoBack"/>
      <w:bookmarkEnd w:id="0"/>
      <w:r w:rsidRPr="00965945">
        <w:rPr>
          <w:b/>
          <w:sz w:val="26"/>
          <w:szCs w:val="26"/>
        </w:rPr>
        <w:t>, I</w:t>
      </w:r>
      <w:r w:rsidR="00DC166A">
        <w:rPr>
          <w:b/>
          <w:sz w:val="26"/>
          <w:szCs w:val="26"/>
        </w:rPr>
        <w:t>I</w:t>
      </w:r>
      <w:r w:rsidRPr="00965945">
        <w:rPr>
          <w:b/>
          <w:sz w:val="26"/>
          <w:szCs w:val="26"/>
        </w:rPr>
        <w:t xml:space="preserve"> Semestre, 6 </w:t>
      </w:r>
      <w:proofErr w:type="spellStart"/>
      <w:r w:rsidRPr="00965945">
        <w:rPr>
          <w:b/>
          <w:sz w:val="26"/>
          <w:szCs w:val="26"/>
        </w:rPr>
        <w:t>Cfu</w:t>
      </w:r>
      <w:proofErr w:type="spellEnd"/>
      <w:r w:rsidRPr="00965945">
        <w:rPr>
          <w:b/>
          <w:sz w:val="26"/>
          <w:szCs w:val="26"/>
        </w:rPr>
        <w:t xml:space="preserve"> </w:t>
      </w:r>
    </w:p>
    <w:p w14:paraId="142DD004" w14:textId="77777777" w:rsidR="00781DE2" w:rsidRPr="00965945" w:rsidRDefault="00781DE2" w:rsidP="00781DE2">
      <w:pPr>
        <w:jc w:val="center"/>
        <w:rPr>
          <w:sz w:val="16"/>
          <w:szCs w:val="16"/>
        </w:rPr>
      </w:pPr>
    </w:p>
    <w:p w14:paraId="3C91DC68" w14:textId="72DB35D3" w:rsidR="00781DE2" w:rsidRPr="00965945" w:rsidRDefault="00781DE2" w:rsidP="00781DE2">
      <w:pPr>
        <w:jc w:val="center"/>
        <w:rPr>
          <w:b/>
          <w:sz w:val="26"/>
          <w:szCs w:val="26"/>
        </w:rPr>
      </w:pPr>
      <w:r w:rsidRPr="00965945">
        <w:rPr>
          <w:sz w:val="26"/>
          <w:szCs w:val="26"/>
        </w:rPr>
        <w:t xml:space="preserve">Docente: </w:t>
      </w:r>
      <w:r w:rsidR="00DC166A">
        <w:rPr>
          <w:b/>
          <w:sz w:val="26"/>
          <w:szCs w:val="26"/>
        </w:rPr>
        <w:t xml:space="preserve">Vincenzo </w:t>
      </w:r>
      <w:proofErr w:type="spellStart"/>
      <w:r w:rsidR="00DC166A">
        <w:rPr>
          <w:b/>
          <w:sz w:val="26"/>
          <w:szCs w:val="26"/>
        </w:rPr>
        <w:t>Tigano</w:t>
      </w:r>
      <w:proofErr w:type="spellEnd"/>
    </w:p>
    <w:p w14:paraId="42C1490A" w14:textId="77777777" w:rsidR="00781DE2" w:rsidRPr="00965945" w:rsidRDefault="00781DE2" w:rsidP="00781DE2">
      <w:pPr>
        <w:jc w:val="center"/>
        <w:rPr>
          <w:sz w:val="16"/>
          <w:szCs w:val="16"/>
        </w:rPr>
      </w:pPr>
    </w:p>
    <w:tbl>
      <w:tblPr>
        <w:tblW w:w="10907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8458"/>
      </w:tblGrid>
      <w:tr w:rsidR="00781DE2" w:rsidRPr="002A54ED" w14:paraId="2B9C70FF" w14:textId="77777777" w:rsidTr="00EA446E">
        <w:tc>
          <w:tcPr>
            <w:tcW w:w="2449" w:type="dxa"/>
            <w:shd w:val="clear" w:color="auto" w:fill="auto"/>
            <w:vAlign w:val="center"/>
          </w:tcPr>
          <w:p w14:paraId="0C1BD483" w14:textId="77777777" w:rsidR="00781DE2" w:rsidRPr="002A54ED" w:rsidRDefault="00781DE2" w:rsidP="00EA446E">
            <w:pPr>
              <w:jc w:val="center"/>
              <w:rPr>
                <w:b/>
              </w:rPr>
            </w:pPr>
            <w:r w:rsidRPr="002A54ED">
              <w:rPr>
                <w:b/>
              </w:rPr>
              <w:t>Informazioni Corso</w:t>
            </w:r>
          </w:p>
        </w:tc>
        <w:tc>
          <w:tcPr>
            <w:tcW w:w="8458" w:type="dxa"/>
            <w:shd w:val="clear" w:color="auto" w:fill="auto"/>
          </w:tcPr>
          <w:p w14:paraId="22B44AD5" w14:textId="08C783F9" w:rsidR="00781DE2" w:rsidRDefault="00781DE2" w:rsidP="00EA446E">
            <w:r w:rsidRPr="002A54ED">
              <w:t>Attività formativa a libera scelta - I</w:t>
            </w:r>
            <w:r w:rsidR="00DC166A">
              <w:t>I</w:t>
            </w:r>
            <w:r w:rsidRPr="002A54ED">
              <w:t xml:space="preserve"> semestre - CFU 6 – Ore di lezione 42</w:t>
            </w:r>
          </w:p>
          <w:p w14:paraId="79A78B6B" w14:textId="02F57F23" w:rsidR="00781DE2" w:rsidRPr="002A54ED" w:rsidRDefault="00781DE2" w:rsidP="00EA446E">
            <w:proofErr w:type="spellStart"/>
            <w:r w:rsidRPr="002A54ED">
              <w:t>s.s.d</w:t>
            </w:r>
            <w:proofErr w:type="spellEnd"/>
            <w:r>
              <w:t>.</w:t>
            </w:r>
            <w:r w:rsidRPr="002A54ED">
              <w:t xml:space="preserve"> IUS/</w:t>
            </w:r>
            <w:r w:rsidR="00DC166A">
              <w:t>17</w:t>
            </w:r>
          </w:p>
        </w:tc>
      </w:tr>
      <w:tr w:rsidR="00781DE2" w:rsidRPr="002A54ED" w14:paraId="25F9D570" w14:textId="77777777" w:rsidTr="00EA446E">
        <w:tc>
          <w:tcPr>
            <w:tcW w:w="2449" w:type="dxa"/>
            <w:shd w:val="clear" w:color="auto" w:fill="auto"/>
            <w:vAlign w:val="center"/>
          </w:tcPr>
          <w:p w14:paraId="2BA7BA7C" w14:textId="77777777" w:rsidR="00781DE2" w:rsidRPr="002A54ED" w:rsidRDefault="00781DE2" w:rsidP="00EA446E">
            <w:pPr>
              <w:pStyle w:val="Corpodeltesto20"/>
              <w:shd w:val="clear" w:color="auto" w:fill="auto"/>
              <w:spacing w:line="220" w:lineRule="exact"/>
              <w:jc w:val="center"/>
              <w:rPr>
                <w:rFonts w:ascii="Cambria" w:eastAsia="Bookman Old Style" w:hAnsi="Cambria" w:cs="Bookman Old Style"/>
                <w:b/>
                <w:bCs/>
                <w:color w:val="000000"/>
                <w:sz w:val="24"/>
                <w:szCs w:val="24"/>
                <w:shd w:val="clear" w:color="auto" w:fill="FFFFFF"/>
                <w:lang w:bidi="it-IT"/>
              </w:rPr>
            </w:pPr>
            <w:r w:rsidRPr="002A54ED">
              <w:rPr>
                <w:rStyle w:val="Corpodeltesto2BookmanOldStyle11ptGrassetto"/>
                <w:rFonts w:ascii="Cambria" w:hAnsi="Cambria"/>
                <w:sz w:val="24"/>
                <w:szCs w:val="24"/>
              </w:rPr>
              <w:t>Informazioni Docente</w:t>
            </w:r>
          </w:p>
        </w:tc>
        <w:tc>
          <w:tcPr>
            <w:tcW w:w="8458" w:type="dxa"/>
            <w:shd w:val="clear" w:color="auto" w:fill="auto"/>
            <w:vAlign w:val="bottom"/>
          </w:tcPr>
          <w:p w14:paraId="5CA9E456" w14:textId="73EBCADF" w:rsidR="00781DE2" w:rsidRPr="002A54ED" w:rsidRDefault="00781DE2" w:rsidP="00EA446E">
            <w:r w:rsidRPr="002A54ED">
              <w:t>V</w:t>
            </w:r>
            <w:r w:rsidR="00DC166A">
              <w:t>incenzo</w:t>
            </w:r>
            <w:r w:rsidRPr="002A54ED">
              <w:t xml:space="preserve"> </w:t>
            </w:r>
            <w:proofErr w:type="spellStart"/>
            <w:r w:rsidR="00DC166A">
              <w:t>Tigano</w:t>
            </w:r>
            <w:proofErr w:type="spellEnd"/>
          </w:p>
          <w:p w14:paraId="7CA9A768" w14:textId="77777777" w:rsidR="00781DE2" w:rsidRPr="002A54ED" w:rsidRDefault="00781DE2" w:rsidP="00EA446E">
            <w:r w:rsidRPr="002A54ED">
              <w:t>Dipartimento di Giurisprudenza, Economia e Sociologia</w:t>
            </w:r>
          </w:p>
          <w:p w14:paraId="13883DC4" w14:textId="2FE867C8" w:rsidR="00781DE2" w:rsidRPr="002A54ED" w:rsidRDefault="00781DE2" w:rsidP="00EA446E">
            <w:pPr>
              <w:rPr>
                <w:i/>
              </w:rPr>
            </w:pPr>
            <w:r w:rsidRPr="005267CB">
              <w:rPr>
                <w:u w:val="single"/>
              </w:rPr>
              <w:t>e-mail</w:t>
            </w:r>
            <w:r w:rsidRPr="002A54ED">
              <w:t xml:space="preserve">: </w:t>
            </w:r>
            <w:hyperlink r:id="rId5" w:history="1">
              <w:r w:rsidR="00DC166A" w:rsidRPr="00B66DD4">
                <w:rPr>
                  <w:rStyle w:val="Collegamentoipertestuale"/>
                  <w:i/>
                </w:rPr>
                <w:t>vtigano@unicz.it</w:t>
              </w:r>
            </w:hyperlink>
          </w:p>
          <w:p w14:paraId="6CB63AC7" w14:textId="5B73E447" w:rsidR="00781DE2" w:rsidRPr="002A54ED" w:rsidRDefault="00781DE2" w:rsidP="00EA446E">
            <w:r w:rsidRPr="005267CB">
              <w:rPr>
                <w:u w:val="single"/>
              </w:rPr>
              <w:t>Ricevimento</w:t>
            </w:r>
            <w:r w:rsidRPr="002A54ED">
              <w:t xml:space="preserve">: </w:t>
            </w:r>
            <w:r w:rsidR="00DC166A">
              <w:t>S</w:t>
            </w:r>
            <w:r w:rsidRPr="002A54ED">
              <w:t xml:space="preserve">alvo diverso avviso sul sito, ogni venerdì, dalle ore </w:t>
            </w:r>
            <w:r w:rsidR="00DC166A">
              <w:t>1</w:t>
            </w:r>
            <w:r w:rsidRPr="002A54ED">
              <w:t>0 alle ore 1</w:t>
            </w:r>
            <w:r w:rsidR="00DC166A">
              <w:t>2</w:t>
            </w:r>
            <w:r w:rsidRPr="002A54ED">
              <w:t xml:space="preserve">, presso la stanza </w:t>
            </w:r>
            <w:r w:rsidR="00DC166A">
              <w:t>dei docenti di Diritto penale</w:t>
            </w:r>
            <w:r w:rsidRPr="002A54ED">
              <w:t xml:space="preserve"> </w:t>
            </w:r>
            <w:r w:rsidR="00DC166A">
              <w:t xml:space="preserve">nel </w:t>
            </w:r>
            <w:r w:rsidRPr="002A54ED">
              <w:t>Dipartiment</w:t>
            </w:r>
            <w:r w:rsidR="00DC166A">
              <w:t>o di Giurisprudenza, Economia e Sociologia</w:t>
            </w:r>
            <w:r w:rsidR="00535591">
              <w:t>.</w:t>
            </w:r>
          </w:p>
        </w:tc>
      </w:tr>
      <w:tr w:rsidR="00781DE2" w:rsidRPr="002A54ED" w14:paraId="5CE0C541" w14:textId="77777777" w:rsidTr="00EA446E">
        <w:tc>
          <w:tcPr>
            <w:tcW w:w="2449" w:type="dxa"/>
            <w:shd w:val="clear" w:color="auto" w:fill="auto"/>
            <w:vAlign w:val="center"/>
          </w:tcPr>
          <w:p w14:paraId="7C7DE7F3" w14:textId="77777777" w:rsidR="00781DE2" w:rsidRPr="002A54ED" w:rsidRDefault="00781DE2" w:rsidP="00EA446E">
            <w:pPr>
              <w:pStyle w:val="Corpodeltesto20"/>
              <w:shd w:val="clear" w:color="auto" w:fill="auto"/>
              <w:spacing w:line="220" w:lineRule="exact"/>
              <w:jc w:val="center"/>
              <w:rPr>
                <w:rFonts w:ascii="Cambria" w:hAnsi="Cambria"/>
              </w:rPr>
            </w:pPr>
            <w:r w:rsidRPr="002A54ED">
              <w:rPr>
                <w:rStyle w:val="Corpodeltesto2BookmanOldStyle11ptGrassetto"/>
                <w:rFonts w:ascii="Cambria" w:hAnsi="Cambria"/>
                <w:sz w:val="24"/>
                <w:szCs w:val="24"/>
              </w:rPr>
              <w:t>Descrizione del Corso</w:t>
            </w:r>
          </w:p>
        </w:tc>
        <w:tc>
          <w:tcPr>
            <w:tcW w:w="8458" w:type="dxa"/>
            <w:shd w:val="clear" w:color="auto" w:fill="auto"/>
          </w:tcPr>
          <w:p w14:paraId="05385350" w14:textId="783854CC" w:rsidR="00781DE2" w:rsidRPr="002A54ED" w:rsidRDefault="00781DE2" w:rsidP="00EA446E">
            <w:r w:rsidRPr="002A54ED">
              <w:t>Il corso si articola in lezioni di didattica frontale, per un totale di 6 ore settimanali, suddivise in tre giorni.</w:t>
            </w:r>
          </w:p>
        </w:tc>
      </w:tr>
      <w:tr w:rsidR="00781DE2" w:rsidRPr="002A54ED" w14:paraId="48F6CFD2" w14:textId="77777777" w:rsidTr="00EA446E">
        <w:trPr>
          <w:trHeight w:val="1520"/>
        </w:trPr>
        <w:tc>
          <w:tcPr>
            <w:tcW w:w="2449" w:type="dxa"/>
            <w:shd w:val="clear" w:color="auto" w:fill="auto"/>
            <w:vAlign w:val="center"/>
          </w:tcPr>
          <w:p w14:paraId="35FC3A5C" w14:textId="77777777" w:rsidR="00781DE2" w:rsidRPr="002A54ED" w:rsidRDefault="00781DE2" w:rsidP="00EA446E">
            <w:pPr>
              <w:pStyle w:val="Corpodeltesto20"/>
              <w:shd w:val="clear" w:color="auto" w:fill="auto"/>
              <w:jc w:val="center"/>
              <w:rPr>
                <w:rFonts w:ascii="Cambria" w:eastAsia="Bookman Old Style" w:hAnsi="Cambria" w:cs="Bookman Old Style"/>
                <w:b/>
                <w:bCs/>
                <w:color w:val="000000"/>
                <w:sz w:val="24"/>
                <w:szCs w:val="24"/>
                <w:shd w:val="clear" w:color="auto" w:fill="FFFFFF"/>
                <w:lang w:bidi="it-IT"/>
              </w:rPr>
            </w:pPr>
            <w:r w:rsidRPr="002A54ED">
              <w:rPr>
                <w:rStyle w:val="Corpodeltesto2BookmanOldStyle11ptGrassetto"/>
                <w:rFonts w:ascii="Cambria" w:hAnsi="Cambria"/>
                <w:sz w:val="24"/>
                <w:szCs w:val="24"/>
              </w:rPr>
              <w:t>Obiettivi del Corso e Risultati di Apprendimento attesi</w:t>
            </w:r>
          </w:p>
        </w:tc>
        <w:tc>
          <w:tcPr>
            <w:tcW w:w="8458" w:type="dxa"/>
            <w:shd w:val="clear" w:color="auto" w:fill="auto"/>
            <w:vAlign w:val="bottom"/>
          </w:tcPr>
          <w:p w14:paraId="4CD6D0B2" w14:textId="77777777" w:rsidR="00331913" w:rsidRPr="00D741D5" w:rsidRDefault="00331913" w:rsidP="00D741D5">
            <w:pPr>
              <w:spacing w:line="259" w:lineRule="auto"/>
              <w:contextualSpacing/>
              <w:jc w:val="both"/>
              <w:rPr>
                <w:rFonts w:asciiTheme="majorHAnsi" w:eastAsia="Times New Roman" w:hAnsiTheme="majorHAnsi"/>
                <w:lang w:eastAsia="en-US"/>
              </w:rPr>
            </w:pPr>
            <w:r w:rsidRPr="00D741D5">
              <w:rPr>
                <w:rFonts w:asciiTheme="majorHAnsi" w:eastAsia="Times New Roman" w:hAnsiTheme="majorHAnsi"/>
                <w:lang w:eastAsia="en-US"/>
              </w:rPr>
              <w:t>Il corso si incentra sull’analisi di problematiche sorte nel rapporto tra diritto penale, responsabilità medica e biodiritto.</w:t>
            </w:r>
          </w:p>
          <w:p w14:paraId="681128DC" w14:textId="2283D592" w:rsidR="00331913" w:rsidRPr="00D741D5" w:rsidRDefault="00331913" w:rsidP="00D741D5">
            <w:pPr>
              <w:spacing w:line="259" w:lineRule="auto"/>
              <w:contextualSpacing/>
              <w:jc w:val="both"/>
              <w:rPr>
                <w:rFonts w:asciiTheme="majorHAnsi" w:eastAsia="Times New Roman" w:hAnsiTheme="majorHAnsi"/>
                <w:lang w:eastAsia="en-US"/>
              </w:rPr>
            </w:pPr>
            <w:r w:rsidRPr="00D741D5">
              <w:rPr>
                <w:rFonts w:asciiTheme="majorHAnsi" w:eastAsia="Times New Roman" w:hAnsiTheme="majorHAnsi"/>
                <w:lang w:eastAsia="en-US"/>
              </w:rPr>
              <w:t xml:space="preserve">La prima parte del corso mira all’approfondimento di istituti di parte generale del diritto penale che sono stati oggetto di particolare discussione in relazione alla responsabilità del sanitario – come </w:t>
            </w:r>
            <w:r w:rsidR="00375EC5">
              <w:rPr>
                <w:rFonts w:asciiTheme="majorHAnsi" w:eastAsia="Times New Roman" w:hAnsiTheme="majorHAnsi"/>
                <w:lang w:eastAsia="en-US"/>
              </w:rPr>
              <w:t xml:space="preserve">il legame causale con gli </w:t>
            </w:r>
            <w:r w:rsidR="00432438">
              <w:rPr>
                <w:rFonts w:asciiTheme="majorHAnsi" w:eastAsia="Times New Roman" w:hAnsiTheme="majorHAnsi"/>
                <w:lang w:eastAsia="en-US"/>
              </w:rPr>
              <w:t>eventi avversi</w:t>
            </w:r>
            <w:r w:rsidR="00375EC5">
              <w:rPr>
                <w:rFonts w:asciiTheme="majorHAnsi" w:eastAsia="Times New Roman" w:hAnsiTheme="majorHAnsi"/>
                <w:lang w:eastAsia="en-US"/>
              </w:rPr>
              <w:t xml:space="preserve"> (morte, lesioni)</w:t>
            </w:r>
            <w:r w:rsidRPr="00D741D5">
              <w:rPr>
                <w:rFonts w:asciiTheme="majorHAnsi" w:eastAsia="Times New Roman" w:hAnsiTheme="majorHAnsi"/>
                <w:lang w:eastAsia="en-US"/>
              </w:rPr>
              <w:t xml:space="preserve">, il consenso </w:t>
            </w:r>
            <w:r w:rsidR="00375EC5">
              <w:rPr>
                <w:rFonts w:asciiTheme="majorHAnsi" w:eastAsia="Times New Roman" w:hAnsiTheme="majorHAnsi"/>
                <w:lang w:eastAsia="en-US"/>
              </w:rPr>
              <w:t>del paziente</w:t>
            </w:r>
            <w:r w:rsidRPr="00D741D5">
              <w:rPr>
                <w:rFonts w:asciiTheme="majorHAnsi" w:eastAsia="Times New Roman" w:hAnsiTheme="majorHAnsi"/>
                <w:lang w:eastAsia="en-US"/>
              </w:rPr>
              <w:t>, la colpa</w:t>
            </w:r>
            <w:r w:rsidR="00375EC5">
              <w:rPr>
                <w:rFonts w:asciiTheme="majorHAnsi" w:eastAsia="Times New Roman" w:hAnsiTheme="majorHAnsi"/>
                <w:lang w:eastAsia="en-US"/>
              </w:rPr>
              <w:t xml:space="preserve"> medica</w:t>
            </w:r>
            <w:r w:rsidRPr="00D741D5">
              <w:rPr>
                <w:rFonts w:asciiTheme="majorHAnsi" w:eastAsia="Times New Roman" w:hAnsiTheme="majorHAnsi"/>
                <w:lang w:eastAsia="en-US"/>
              </w:rPr>
              <w:t xml:space="preserve"> – o che hanno trovato nella medicina</w:t>
            </w:r>
            <w:r w:rsidR="00375EC5">
              <w:rPr>
                <w:rFonts w:asciiTheme="majorHAnsi" w:eastAsia="Times New Roman" w:hAnsiTheme="majorHAnsi"/>
                <w:lang w:eastAsia="en-US"/>
              </w:rPr>
              <w:t xml:space="preserve"> </w:t>
            </w:r>
            <w:r w:rsidRPr="00D741D5">
              <w:rPr>
                <w:rFonts w:asciiTheme="majorHAnsi" w:eastAsia="Times New Roman" w:hAnsiTheme="majorHAnsi"/>
                <w:lang w:eastAsia="en-US"/>
              </w:rPr>
              <w:t xml:space="preserve">la propria base concettuale – come l’imputabilità, con particolare attenzione al contributo dato dalle neuroscienze </w:t>
            </w:r>
            <w:proofErr w:type="gramStart"/>
            <w:r w:rsidRPr="00D741D5">
              <w:rPr>
                <w:rFonts w:asciiTheme="majorHAnsi" w:eastAsia="Times New Roman" w:hAnsiTheme="majorHAnsi"/>
                <w:lang w:eastAsia="en-US"/>
              </w:rPr>
              <w:t>– .</w:t>
            </w:r>
            <w:proofErr w:type="gramEnd"/>
          </w:p>
          <w:p w14:paraId="2857BCE8" w14:textId="70DA4DAB" w:rsidR="00781DE2" w:rsidRPr="002A54ED" w:rsidRDefault="00331913" w:rsidP="00D741D5">
            <w:pPr>
              <w:contextualSpacing/>
              <w:jc w:val="both"/>
            </w:pPr>
            <w:r w:rsidRPr="00D741D5">
              <w:rPr>
                <w:rFonts w:asciiTheme="majorHAnsi" w:eastAsia="Times New Roman" w:hAnsiTheme="majorHAnsi"/>
                <w:lang w:eastAsia="en-US"/>
              </w:rPr>
              <w:t xml:space="preserve">La seconda parte del corso si svolge attraverso la disamina di determinate tematiche di parte speciale, per lo più afferenti all’intervento del diritto penale nelle questioni di inizio-vita e di fine-vita, come la procreazione </w:t>
            </w:r>
            <w:r w:rsidR="00375EC5">
              <w:rPr>
                <w:rFonts w:asciiTheme="majorHAnsi" w:eastAsia="Times New Roman" w:hAnsiTheme="majorHAnsi"/>
                <w:lang w:eastAsia="en-US"/>
              </w:rPr>
              <w:t xml:space="preserve">medicalmente </w:t>
            </w:r>
            <w:r w:rsidRPr="00D741D5">
              <w:rPr>
                <w:rFonts w:asciiTheme="majorHAnsi" w:eastAsia="Times New Roman" w:hAnsiTheme="majorHAnsi"/>
                <w:lang w:eastAsia="en-US"/>
              </w:rPr>
              <w:t>assistita, l’interruzione di gravidanza, la sperimentazione sugli embrioni, il traffico di organi e l’eutanasia.</w:t>
            </w:r>
          </w:p>
        </w:tc>
      </w:tr>
      <w:tr w:rsidR="00781DE2" w:rsidRPr="002A54ED" w14:paraId="00F7CE48" w14:textId="77777777" w:rsidTr="00EA446E">
        <w:tc>
          <w:tcPr>
            <w:tcW w:w="2449" w:type="dxa"/>
            <w:shd w:val="clear" w:color="auto" w:fill="auto"/>
            <w:vAlign w:val="center"/>
          </w:tcPr>
          <w:p w14:paraId="3F8F8654" w14:textId="77777777" w:rsidR="00781DE2" w:rsidRPr="002A54ED" w:rsidRDefault="00781DE2" w:rsidP="00EA446E">
            <w:pPr>
              <w:jc w:val="center"/>
              <w:rPr>
                <w:b/>
              </w:rPr>
            </w:pPr>
            <w:r w:rsidRPr="002A54ED">
              <w:rPr>
                <w:b/>
              </w:rPr>
              <w:t>Programma (contenuti, modalità di svolgimento)</w:t>
            </w:r>
          </w:p>
          <w:p w14:paraId="00211298" w14:textId="77777777" w:rsidR="00781DE2" w:rsidRPr="002A54ED" w:rsidRDefault="00781DE2" w:rsidP="00EA446E">
            <w:pPr>
              <w:jc w:val="center"/>
              <w:rPr>
                <w:b/>
              </w:rPr>
            </w:pPr>
            <w:r w:rsidRPr="002A54ED">
              <w:rPr>
                <w:b/>
              </w:rPr>
              <w:t>Eventuale distinzione programma frequentanti - non frequentanti</w:t>
            </w:r>
          </w:p>
        </w:tc>
        <w:tc>
          <w:tcPr>
            <w:tcW w:w="8458" w:type="dxa"/>
            <w:shd w:val="clear" w:color="auto" w:fill="auto"/>
            <w:vAlign w:val="center"/>
          </w:tcPr>
          <w:p w14:paraId="0FA3D4E9" w14:textId="77777777" w:rsidR="005F5823" w:rsidRPr="00D741D5" w:rsidRDefault="005F5823" w:rsidP="00D741D5">
            <w:pPr>
              <w:spacing w:line="259" w:lineRule="auto"/>
              <w:contextualSpacing/>
              <w:jc w:val="both"/>
              <w:rPr>
                <w:rFonts w:asciiTheme="majorHAnsi" w:eastAsia="Times New Roman" w:hAnsiTheme="majorHAnsi"/>
                <w:lang w:eastAsia="en-US"/>
              </w:rPr>
            </w:pPr>
            <w:r w:rsidRPr="00D741D5">
              <w:rPr>
                <w:rFonts w:asciiTheme="majorHAnsi" w:eastAsia="Times New Roman" w:hAnsiTheme="majorHAnsi"/>
                <w:lang w:eastAsia="en-US"/>
              </w:rPr>
              <w:t>PARTE GENERALE.</w:t>
            </w:r>
          </w:p>
          <w:p w14:paraId="0E8547C2" w14:textId="47861E50" w:rsidR="00DC166A" w:rsidRPr="00D741D5" w:rsidRDefault="005F5823" w:rsidP="00D741D5">
            <w:pPr>
              <w:spacing w:line="259" w:lineRule="auto"/>
              <w:contextualSpacing/>
              <w:jc w:val="both"/>
              <w:rPr>
                <w:rFonts w:asciiTheme="majorHAnsi" w:eastAsia="Times New Roman" w:hAnsiTheme="majorHAnsi"/>
                <w:lang w:eastAsia="en-US"/>
              </w:rPr>
            </w:pPr>
            <w:r w:rsidRPr="00D741D5">
              <w:rPr>
                <w:rFonts w:asciiTheme="majorHAnsi" w:eastAsia="Times New Roman" w:hAnsiTheme="majorHAnsi"/>
                <w:lang w:eastAsia="en-US"/>
              </w:rPr>
              <w:t>I principi fondamentali del diritto penale. Gli elementi costitutivi del reato. Il fatto tipico, con particolare riguardo al nesso di causalità e alla distinzione tra reati commissivi ed omissivi. L’antigiuridicità, con particolare riguardo alla disciplina generale e al consenso dell’avente diritto nel trattamento medico-chirurgico; la legge n. 219 del 2017. La colpevolezza, con particolare riguardo all’imputabilità, ai coefficienti psicologici e alla colpa medica; l’art. 590-</w:t>
            </w:r>
            <w:r w:rsidRPr="00D741D5">
              <w:rPr>
                <w:rFonts w:asciiTheme="majorHAnsi" w:eastAsia="Times New Roman" w:hAnsiTheme="majorHAnsi"/>
                <w:i/>
                <w:lang w:eastAsia="en-US"/>
              </w:rPr>
              <w:t>sexies</w:t>
            </w:r>
            <w:r w:rsidRPr="00D741D5">
              <w:rPr>
                <w:rFonts w:asciiTheme="majorHAnsi" w:eastAsia="Times New Roman" w:hAnsiTheme="majorHAnsi"/>
                <w:lang w:eastAsia="en-US"/>
              </w:rPr>
              <w:t xml:space="preserve"> c.p.; il rischio consentito.</w:t>
            </w:r>
          </w:p>
          <w:p w14:paraId="76E86F0C" w14:textId="0ECD6B17" w:rsidR="005F5823" w:rsidRPr="00D741D5" w:rsidRDefault="005F5823" w:rsidP="00D741D5">
            <w:pPr>
              <w:spacing w:line="259" w:lineRule="auto"/>
              <w:contextualSpacing/>
              <w:jc w:val="both"/>
              <w:rPr>
                <w:rFonts w:asciiTheme="majorHAnsi" w:eastAsia="Times New Roman" w:hAnsiTheme="majorHAnsi"/>
                <w:lang w:eastAsia="en-US"/>
              </w:rPr>
            </w:pPr>
            <w:r w:rsidRPr="00D741D5">
              <w:rPr>
                <w:rFonts w:asciiTheme="majorHAnsi" w:eastAsia="Times New Roman" w:hAnsiTheme="majorHAnsi"/>
                <w:lang w:eastAsia="en-US"/>
              </w:rPr>
              <w:t>PARTE SPECIALE</w:t>
            </w:r>
          </w:p>
          <w:p w14:paraId="79921158" w14:textId="3989A9E2" w:rsidR="005F5823" w:rsidRPr="00D741D5" w:rsidRDefault="005F5823" w:rsidP="00D741D5">
            <w:pPr>
              <w:spacing w:line="259" w:lineRule="auto"/>
              <w:contextualSpacing/>
              <w:jc w:val="both"/>
              <w:rPr>
                <w:rFonts w:asciiTheme="majorHAnsi" w:eastAsia="Times New Roman" w:hAnsiTheme="majorHAnsi"/>
                <w:lang w:eastAsia="en-US"/>
              </w:rPr>
            </w:pPr>
            <w:r w:rsidRPr="00D741D5">
              <w:rPr>
                <w:rFonts w:asciiTheme="majorHAnsi" w:eastAsia="Times New Roman" w:hAnsiTheme="majorHAnsi"/>
                <w:lang w:eastAsia="en-US"/>
              </w:rPr>
              <w:t>Le questioni di inizio vita, con particolare riguardo ai requisiti di accesso alla procreazione medicalmente assistita, al delitto di maternità surrogata e a quello di sperimentazione sugli embrioni. Gli atti dispositivi sul corpo, con particolare riguardo alla disciplina della donazione di organi e alla repressione del traffico di organi. Le questioni di fine vita, con particolare riguardo al divieto di accanimento terapeutico, al delitto di omicidio del consenziente e a quello di istigazione e aiuto al suicidio.</w:t>
            </w:r>
          </w:p>
          <w:p w14:paraId="2EF4A07E" w14:textId="77777777" w:rsidR="00781DE2" w:rsidRPr="00D741D5" w:rsidRDefault="00781DE2" w:rsidP="00D741D5">
            <w:pPr>
              <w:pStyle w:val="Corpodeltesto2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741D5">
              <w:rPr>
                <w:rFonts w:asciiTheme="majorHAnsi" w:hAnsiTheme="majorHAnsi"/>
                <w:sz w:val="24"/>
                <w:szCs w:val="24"/>
              </w:rPr>
              <w:t xml:space="preserve">Gli studenti non frequentanti sono tenuti ad osservare scrupolosamente il programma indicato nel presente </w:t>
            </w:r>
            <w:proofErr w:type="spellStart"/>
            <w:r w:rsidRPr="00D741D5">
              <w:rPr>
                <w:rFonts w:asciiTheme="majorHAnsi" w:hAnsiTheme="majorHAnsi"/>
                <w:sz w:val="24"/>
                <w:szCs w:val="24"/>
              </w:rPr>
              <w:t>syllabus</w:t>
            </w:r>
            <w:proofErr w:type="spellEnd"/>
            <w:r w:rsidRPr="00D741D5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79BDC9E8" w14:textId="73B38012" w:rsidR="00781DE2" w:rsidRPr="00D741D5" w:rsidRDefault="00781DE2" w:rsidP="00D741D5">
            <w:pPr>
              <w:pStyle w:val="Corpodeltesto2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741D5">
              <w:rPr>
                <w:rFonts w:asciiTheme="majorHAnsi" w:hAnsiTheme="majorHAnsi"/>
                <w:sz w:val="24"/>
                <w:szCs w:val="24"/>
              </w:rPr>
              <w:t xml:space="preserve">Gli studenti frequentanti dovranno attenersi alle indicazioni che il docente darà </w:t>
            </w:r>
            <w:r w:rsidRPr="00D741D5">
              <w:rPr>
                <w:rFonts w:asciiTheme="majorHAnsi" w:hAnsiTheme="majorHAnsi"/>
                <w:sz w:val="24"/>
                <w:szCs w:val="24"/>
              </w:rPr>
              <w:lastRenderedPageBreak/>
              <w:t>loro durante il corso.</w:t>
            </w:r>
          </w:p>
        </w:tc>
      </w:tr>
      <w:tr w:rsidR="00781DE2" w:rsidRPr="002A54ED" w14:paraId="12FB8D5B" w14:textId="77777777" w:rsidTr="00EA446E">
        <w:tc>
          <w:tcPr>
            <w:tcW w:w="2449" w:type="dxa"/>
            <w:shd w:val="clear" w:color="auto" w:fill="auto"/>
            <w:vAlign w:val="center"/>
          </w:tcPr>
          <w:p w14:paraId="3DB16384" w14:textId="77777777" w:rsidR="00781DE2" w:rsidRPr="002A54ED" w:rsidRDefault="00781DE2" w:rsidP="00EA446E">
            <w:pPr>
              <w:jc w:val="center"/>
              <w:rPr>
                <w:b/>
              </w:rPr>
            </w:pPr>
            <w:r w:rsidRPr="002A54ED">
              <w:rPr>
                <w:b/>
              </w:rPr>
              <w:lastRenderedPageBreak/>
              <w:t>Stima dell’Impegno Orario richiesto per lo Studio individuale</w:t>
            </w:r>
          </w:p>
        </w:tc>
        <w:tc>
          <w:tcPr>
            <w:tcW w:w="8458" w:type="dxa"/>
            <w:shd w:val="clear" w:color="auto" w:fill="auto"/>
          </w:tcPr>
          <w:p w14:paraId="5943A41B" w14:textId="7B571A71" w:rsidR="00781DE2" w:rsidRPr="000222FF" w:rsidRDefault="00781DE2" w:rsidP="00EA446E">
            <w:r w:rsidRPr="000222FF">
              <w:t xml:space="preserve">Fermo restando il regolamento didattico di Ateneo e la soggettività delle modalità di studio di ciascuno studente, si stima, </w:t>
            </w:r>
            <w:r w:rsidR="00D741D5">
              <w:t xml:space="preserve">mediamente, </w:t>
            </w:r>
            <w:r w:rsidRPr="000222FF">
              <w:t xml:space="preserve">un impegno di studio di </w:t>
            </w:r>
            <w:r w:rsidR="00D741D5">
              <w:t>10</w:t>
            </w:r>
            <w:r w:rsidRPr="000222FF">
              <w:t>0 ore.</w:t>
            </w:r>
          </w:p>
        </w:tc>
      </w:tr>
      <w:tr w:rsidR="00781DE2" w:rsidRPr="002A54ED" w14:paraId="3491AB45" w14:textId="77777777" w:rsidTr="00EA446E">
        <w:tc>
          <w:tcPr>
            <w:tcW w:w="2449" w:type="dxa"/>
            <w:shd w:val="clear" w:color="auto" w:fill="auto"/>
            <w:vAlign w:val="center"/>
          </w:tcPr>
          <w:p w14:paraId="576AA4F6" w14:textId="77777777" w:rsidR="00781DE2" w:rsidRPr="002A54ED" w:rsidRDefault="00781DE2" w:rsidP="00EA446E">
            <w:pPr>
              <w:jc w:val="center"/>
              <w:rPr>
                <w:b/>
              </w:rPr>
            </w:pPr>
            <w:r w:rsidRPr="002A54ED">
              <w:rPr>
                <w:b/>
              </w:rPr>
              <w:t>Metodi di Insegnamento utilizzati</w:t>
            </w:r>
          </w:p>
        </w:tc>
        <w:tc>
          <w:tcPr>
            <w:tcW w:w="8458" w:type="dxa"/>
            <w:shd w:val="clear" w:color="auto" w:fill="auto"/>
          </w:tcPr>
          <w:p w14:paraId="31476775" w14:textId="12C83D9B" w:rsidR="00781DE2" w:rsidRDefault="00781DE2" w:rsidP="00EA446E">
            <w:r>
              <w:t xml:space="preserve">Lezioni di didattica frontale, </w:t>
            </w:r>
            <w:r w:rsidR="00D741D5">
              <w:t>seminari</w:t>
            </w:r>
            <w:r>
              <w:t xml:space="preserve"> di approfondimento.</w:t>
            </w:r>
          </w:p>
          <w:p w14:paraId="1B58B12C" w14:textId="77777777" w:rsidR="00781DE2" w:rsidRPr="002A54ED" w:rsidRDefault="00781DE2" w:rsidP="00EA446E"/>
        </w:tc>
      </w:tr>
      <w:tr w:rsidR="00781DE2" w:rsidRPr="002A54ED" w14:paraId="514F84A8" w14:textId="77777777" w:rsidTr="00EA446E">
        <w:tc>
          <w:tcPr>
            <w:tcW w:w="2449" w:type="dxa"/>
            <w:shd w:val="clear" w:color="auto" w:fill="auto"/>
            <w:vAlign w:val="center"/>
          </w:tcPr>
          <w:p w14:paraId="53643814" w14:textId="77777777" w:rsidR="00781DE2" w:rsidRPr="002A54ED" w:rsidRDefault="00781DE2" w:rsidP="00EA446E">
            <w:pPr>
              <w:jc w:val="center"/>
              <w:rPr>
                <w:b/>
              </w:rPr>
            </w:pPr>
            <w:r w:rsidRPr="002A54ED">
              <w:rPr>
                <w:b/>
              </w:rPr>
              <w:t>Risorse per l’Apprendimento (libri di testo consigliati, eventuali ulteriori letture consigliate per approfondimento, altro materiale didattico)</w:t>
            </w:r>
          </w:p>
        </w:tc>
        <w:tc>
          <w:tcPr>
            <w:tcW w:w="8458" w:type="dxa"/>
            <w:shd w:val="clear" w:color="auto" w:fill="auto"/>
          </w:tcPr>
          <w:p w14:paraId="46C83214" w14:textId="77777777" w:rsidR="00781DE2" w:rsidRDefault="00781DE2" w:rsidP="00EA446E">
            <w:r>
              <w:t>Testi consigliati:</w:t>
            </w:r>
          </w:p>
          <w:p w14:paraId="5063D3AA" w14:textId="0493EC0F" w:rsidR="00D741D5" w:rsidRDefault="002C318A" w:rsidP="00D741D5">
            <w:r>
              <w:t xml:space="preserve">- </w:t>
            </w:r>
            <w:r w:rsidR="00D741D5">
              <w:t xml:space="preserve">S. CANESTRARI, </w:t>
            </w:r>
            <w:r w:rsidR="00D741D5" w:rsidRPr="00D741D5">
              <w:rPr>
                <w:i/>
              </w:rPr>
              <w:t>Principi di biodiritto penale</w:t>
            </w:r>
            <w:r w:rsidR="00D741D5">
              <w:t xml:space="preserve">, </w:t>
            </w:r>
            <w:r w:rsidR="00FF287E">
              <w:t>2</w:t>
            </w:r>
            <w:r w:rsidR="00FF287E" w:rsidRPr="00FF287E">
              <w:rPr>
                <w:vertAlign w:val="superscript"/>
              </w:rPr>
              <w:t>a</w:t>
            </w:r>
            <w:r w:rsidR="00FF287E">
              <w:t xml:space="preserve"> edizione, </w:t>
            </w:r>
            <w:r w:rsidR="00D741D5">
              <w:t>Il Mulino, Bologna 20</w:t>
            </w:r>
            <w:r w:rsidR="00FF287E">
              <w:t>23</w:t>
            </w:r>
            <w:r w:rsidR="00D741D5">
              <w:t>, pp. 1</w:t>
            </w:r>
            <w:r w:rsidR="00FF287E">
              <w:t>28</w:t>
            </w:r>
            <w:r w:rsidR="00D741D5">
              <w:t>.</w:t>
            </w:r>
          </w:p>
          <w:p w14:paraId="66BF9C2B" w14:textId="3498286D" w:rsidR="00D741D5" w:rsidRDefault="00D741D5" w:rsidP="00D741D5">
            <w:r>
              <w:t>Sentenze da studiare:</w:t>
            </w:r>
          </w:p>
          <w:p w14:paraId="4C53B078" w14:textId="45AB13A5" w:rsidR="00D741D5" w:rsidRPr="002C318A" w:rsidRDefault="00D741D5" w:rsidP="002C318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 w:rsidRPr="002C318A">
              <w:rPr>
                <w:rFonts w:asciiTheme="majorHAnsi" w:hAnsiTheme="majorHAnsi"/>
                <w:sz w:val="24"/>
                <w:szCs w:val="24"/>
              </w:rPr>
              <w:t>Cass</w:t>
            </w:r>
            <w:r w:rsidR="002C318A">
              <w:rPr>
                <w:rFonts w:asciiTheme="majorHAnsi" w:hAnsiTheme="majorHAnsi"/>
                <w:sz w:val="24"/>
                <w:szCs w:val="24"/>
              </w:rPr>
              <w:t>.</w:t>
            </w:r>
            <w:r w:rsidRPr="002C318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C318A">
              <w:rPr>
                <w:rFonts w:asciiTheme="majorHAnsi" w:hAnsiTheme="majorHAnsi"/>
                <w:sz w:val="24"/>
                <w:szCs w:val="24"/>
              </w:rPr>
              <w:t>pen</w:t>
            </w:r>
            <w:proofErr w:type="spellEnd"/>
            <w:r w:rsidR="002C318A">
              <w:rPr>
                <w:rFonts w:asciiTheme="majorHAnsi" w:hAnsiTheme="majorHAnsi"/>
                <w:sz w:val="24"/>
                <w:szCs w:val="24"/>
              </w:rPr>
              <w:t>.</w:t>
            </w:r>
            <w:r w:rsidRPr="002C318A">
              <w:rPr>
                <w:rFonts w:asciiTheme="majorHAnsi" w:hAnsiTheme="majorHAnsi"/>
                <w:sz w:val="24"/>
                <w:szCs w:val="24"/>
              </w:rPr>
              <w:t>, sezioni unite, 1</w:t>
            </w:r>
            <w:r w:rsidRPr="002C318A">
              <w:rPr>
                <w:rFonts w:asciiTheme="majorHAnsi" w:hAnsiTheme="majorHAnsi"/>
                <w:bCs/>
                <w:sz w:val="24"/>
                <w:szCs w:val="24"/>
              </w:rPr>
              <w:t>0 luglio 2002 - 11 settembre 2002 n. 30328;</w:t>
            </w:r>
          </w:p>
          <w:p w14:paraId="43DE1564" w14:textId="3752AF78" w:rsidR="00D741D5" w:rsidRPr="002C318A" w:rsidRDefault="00D741D5" w:rsidP="002C318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 w:rsidRPr="002C318A">
              <w:rPr>
                <w:rFonts w:asciiTheme="majorHAnsi" w:hAnsiTheme="majorHAnsi"/>
                <w:bCs/>
                <w:sz w:val="24"/>
                <w:szCs w:val="24"/>
              </w:rPr>
              <w:t>Cass</w:t>
            </w:r>
            <w:r w:rsidR="002C318A"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  <w:r w:rsidRPr="002C318A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C318A">
              <w:rPr>
                <w:rFonts w:asciiTheme="majorHAnsi" w:hAnsiTheme="majorHAnsi"/>
                <w:bCs/>
                <w:sz w:val="24"/>
                <w:szCs w:val="24"/>
              </w:rPr>
              <w:t>pen</w:t>
            </w:r>
            <w:proofErr w:type="spellEnd"/>
            <w:r w:rsidR="002C318A"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  <w:r w:rsidRPr="002C318A">
              <w:rPr>
                <w:rFonts w:asciiTheme="majorHAnsi" w:hAnsiTheme="majorHAnsi"/>
                <w:bCs/>
                <w:sz w:val="24"/>
                <w:szCs w:val="24"/>
              </w:rPr>
              <w:t>, sezioni unite, 18 dicembre 2008 - 21 gennaio 2009, n. 2437</w:t>
            </w:r>
            <w:r w:rsidR="002C318A" w:rsidRPr="002C318A">
              <w:rPr>
                <w:rFonts w:asciiTheme="majorHAnsi" w:hAnsiTheme="majorHAnsi"/>
                <w:bCs/>
                <w:sz w:val="24"/>
                <w:szCs w:val="24"/>
              </w:rPr>
              <w:t>;</w:t>
            </w:r>
          </w:p>
          <w:p w14:paraId="79A22F4A" w14:textId="14668380" w:rsidR="002C318A" w:rsidRPr="002C318A" w:rsidRDefault="002C318A" w:rsidP="002C318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Style w:val="Enfasigrassetto"/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2C318A">
              <w:rPr>
                <w:rFonts w:asciiTheme="majorHAnsi" w:hAnsiTheme="majorHAnsi"/>
                <w:bCs/>
                <w:sz w:val="24"/>
                <w:szCs w:val="24"/>
              </w:rPr>
              <w:t>Cass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  <w:r w:rsidRPr="002C318A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p</w:t>
            </w:r>
            <w:r w:rsidRPr="002C318A">
              <w:rPr>
                <w:rFonts w:asciiTheme="majorHAnsi" w:hAnsiTheme="majorHAnsi"/>
                <w:bCs/>
                <w:sz w:val="24"/>
                <w:szCs w:val="24"/>
              </w:rPr>
              <w:t>en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  <w:r w:rsidRPr="002C318A">
              <w:rPr>
                <w:rFonts w:asciiTheme="majorHAnsi" w:hAnsiTheme="majorHAnsi"/>
                <w:bCs/>
                <w:sz w:val="24"/>
                <w:szCs w:val="24"/>
              </w:rPr>
              <w:t xml:space="preserve">, sezioni unite, </w:t>
            </w:r>
            <w:r w:rsidRPr="002C318A">
              <w:rPr>
                <w:rStyle w:val="Enfasigrassetto"/>
                <w:rFonts w:asciiTheme="majorHAnsi" w:hAnsiTheme="majorHAnsi"/>
                <w:b w:val="0"/>
                <w:sz w:val="24"/>
                <w:szCs w:val="24"/>
              </w:rPr>
              <w:t>21 dicembre 2017 – 22 febbraio 2018, n. 8770;</w:t>
            </w:r>
          </w:p>
          <w:p w14:paraId="3A8AE583" w14:textId="22A2D203" w:rsidR="002C318A" w:rsidRPr="002C318A" w:rsidRDefault="002C318A" w:rsidP="002C318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Style w:val="Enfasigrassetto"/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2C318A">
              <w:rPr>
                <w:rStyle w:val="Enfasigrassetto"/>
                <w:rFonts w:asciiTheme="majorHAnsi" w:hAnsiTheme="majorHAnsi"/>
                <w:b w:val="0"/>
                <w:sz w:val="24"/>
                <w:szCs w:val="24"/>
              </w:rPr>
              <w:t>Cass</w:t>
            </w:r>
            <w:r>
              <w:rPr>
                <w:rStyle w:val="Enfasigrassetto"/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Pr="002C318A">
              <w:rPr>
                <w:rStyle w:val="Enfasigrassetto"/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2C318A">
              <w:rPr>
                <w:rStyle w:val="Enfasigrassetto"/>
                <w:rFonts w:asciiTheme="majorHAnsi" w:hAnsiTheme="majorHAnsi"/>
                <w:b w:val="0"/>
                <w:sz w:val="24"/>
                <w:szCs w:val="24"/>
              </w:rPr>
              <w:t>pen</w:t>
            </w:r>
            <w:proofErr w:type="spellEnd"/>
            <w:r>
              <w:rPr>
                <w:rStyle w:val="Enfasigrassetto"/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Pr="002C318A">
              <w:rPr>
                <w:rStyle w:val="Enfasigrassetto"/>
                <w:rFonts w:asciiTheme="majorHAnsi" w:hAnsiTheme="majorHAnsi"/>
                <w:b w:val="0"/>
                <w:sz w:val="24"/>
                <w:szCs w:val="24"/>
              </w:rPr>
              <w:t>, sezioni unite, 25 gennaio 2005 - 8 marzo 2005 n. 9163;</w:t>
            </w:r>
          </w:p>
          <w:p w14:paraId="3637CF4E" w14:textId="6B4B152F" w:rsidR="002C318A" w:rsidRPr="002C318A" w:rsidRDefault="002C318A" w:rsidP="002C318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Style w:val="Enfasigrassetto"/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2C318A">
              <w:rPr>
                <w:rStyle w:val="Enfasigrassetto"/>
                <w:rFonts w:asciiTheme="majorHAnsi" w:hAnsiTheme="majorHAnsi"/>
                <w:b w:val="0"/>
                <w:sz w:val="24"/>
                <w:szCs w:val="24"/>
              </w:rPr>
              <w:t>Corte costituzionale, 8</w:t>
            </w:r>
            <w:r w:rsidRPr="002C318A">
              <w:rPr>
                <w:rStyle w:val="Enfasigrassetto"/>
                <w:rFonts w:asciiTheme="majorHAnsi" w:hAnsiTheme="majorHAnsi"/>
                <w:sz w:val="24"/>
                <w:szCs w:val="24"/>
              </w:rPr>
              <w:t xml:space="preserve"> </w:t>
            </w:r>
            <w:r w:rsidRPr="002C318A">
              <w:rPr>
                <w:rStyle w:val="Enfasigrassetto"/>
                <w:rFonts w:asciiTheme="majorHAnsi" w:hAnsiTheme="majorHAnsi"/>
                <w:b w:val="0"/>
                <w:sz w:val="24"/>
                <w:szCs w:val="24"/>
              </w:rPr>
              <w:t>maggio 2009, n. 151;</w:t>
            </w:r>
          </w:p>
          <w:p w14:paraId="3A78A89B" w14:textId="46BA269F" w:rsidR="002C318A" w:rsidRPr="002C318A" w:rsidRDefault="002C318A" w:rsidP="002C318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Style w:val="Enfasigrassetto"/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2C318A">
              <w:rPr>
                <w:rStyle w:val="Enfasigrassetto"/>
                <w:rFonts w:asciiTheme="majorHAnsi" w:hAnsiTheme="majorHAnsi"/>
                <w:b w:val="0"/>
                <w:sz w:val="24"/>
                <w:szCs w:val="24"/>
              </w:rPr>
              <w:t>Corte costituzionale, 10 giugno 2014, n. 162;</w:t>
            </w:r>
          </w:p>
          <w:p w14:paraId="6E686C9D" w14:textId="3C0190CE" w:rsidR="002C318A" w:rsidRPr="002C318A" w:rsidRDefault="002C318A" w:rsidP="002C318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Style w:val="Enfasigrassetto"/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2C318A">
              <w:rPr>
                <w:rStyle w:val="Enfasigrassetto"/>
                <w:rFonts w:asciiTheme="majorHAnsi" w:hAnsiTheme="majorHAnsi"/>
                <w:b w:val="0"/>
                <w:sz w:val="24"/>
                <w:szCs w:val="24"/>
              </w:rPr>
              <w:t>Corte costituzionale, 5 giugno 2015, n. 96;</w:t>
            </w:r>
          </w:p>
          <w:p w14:paraId="044C496E" w14:textId="52AB76C1" w:rsidR="002C318A" w:rsidRPr="002C318A" w:rsidRDefault="002C318A" w:rsidP="002C318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Style w:val="Enfasigrassetto"/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2C318A">
              <w:rPr>
                <w:rStyle w:val="Enfasigrassetto"/>
                <w:rFonts w:asciiTheme="majorHAnsi" w:hAnsiTheme="majorHAnsi"/>
                <w:b w:val="0"/>
                <w:sz w:val="24"/>
                <w:szCs w:val="24"/>
              </w:rPr>
              <w:t>Corte costituzionale, 11 novembre 2015, n. 229;</w:t>
            </w:r>
          </w:p>
          <w:p w14:paraId="78FC6AA6" w14:textId="122A6906" w:rsidR="00781DE2" w:rsidRPr="002C318A" w:rsidRDefault="002C318A" w:rsidP="002C318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 w:rsidRPr="002C318A">
              <w:rPr>
                <w:rStyle w:val="Enfasigrassetto"/>
                <w:rFonts w:asciiTheme="majorHAnsi" w:hAnsiTheme="majorHAnsi"/>
                <w:b w:val="0"/>
                <w:sz w:val="24"/>
                <w:szCs w:val="24"/>
              </w:rPr>
              <w:t>Corte costituzionale, 22 novembre 2019, n. 242.</w:t>
            </w:r>
          </w:p>
          <w:p w14:paraId="0491329E" w14:textId="1E65E173" w:rsidR="00781DE2" w:rsidRPr="002A54ED" w:rsidRDefault="00781DE2" w:rsidP="00EA446E">
            <w:r>
              <w:t>Ulteriori aggiornamenti legislativi ed approfondimenti giurisprudenziali saranno indicati dalla docente durante lo svolgimento del corso.</w:t>
            </w:r>
          </w:p>
        </w:tc>
      </w:tr>
      <w:tr w:rsidR="00781DE2" w:rsidRPr="002A54ED" w14:paraId="761BF14B" w14:textId="77777777" w:rsidTr="00EA446E">
        <w:tc>
          <w:tcPr>
            <w:tcW w:w="2449" w:type="dxa"/>
            <w:shd w:val="clear" w:color="auto" w:fill="auto"/>
            <w:vAlign w:val="center"/>
          </w:tcPr>
          <w:p w14:paraId="72A0EFC7" w14:textId="77777777" w:rsidR="00781DE2" w:rsidRPr="002A54ED" w:rsidRDefault="00781DE2" w:rsidP="00EA446E">
            <w:pPr>
              <w:jc w:val="center"/>
              <w:rPr>
                <w:b/>
              </w:rPr>
            </w:pPr>
            <w:r w:rsidRPr="002A54ED">
              <w:rPr>
                <w:b/>
              </w:rPr>
              <w:t>Attività di Supporto</w:t>
            </w:r>
          </w:p>
        </w:tc>
        <w:tc>
          <w:tcPr>
            <w:tcW w:w="8458" w:type="dxa"/>
            <w:shd w:val="clear" w:color="auto" w:fill="auto"/>
          </w:tcPr>
          <w:p w14:paraId="231BA1D3" w14:textId="28EBBD93" w:rsidR="00781DE2" w:rsidRPr="002A54ED" w:rsidRDefault="00781DE2" w:rsidP="00EA446E">
            <w:r>
              <w:t>Possono essere concordati con gli studenti ulteriori percorsi di approfondimento</w:t>
            </w:r>
          </w:p>
        </w:tc>
      </w:tr>
      <w:tr w:rsidR="00781DE2" w:rsidRPr="002A54ED" w14:paraId="02B1AB74" w14:textId="77777777" w:rsidTr="00EA446E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BBB0" w14:textId="77777777" w:rsidR="00781DE2" w:rsidRPr="002A54ED" w:rsidRDefault="00781DE2" w:rsidP="00EA446E">
            <w:pPr>
              <w:jc w:val="center"/>
              <w:rPr>
                <w:b/>
              </w:rPr>
            </w:pPr>
            <w:r w:rsidRPr="002A54ED">
              <w:rPr>
                <w:b/>
              </w:rPr>
              <w:t>Modalità di Frequenza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2914" w14:textId="77777777" w:rsidR="00781DE2" w:rsidRPr="002A54ED" w:rsidRDefault="00781DE2" w:rsidP="00EA446E">
            <w:r>
              <w:t>La frequenza del corso è facoltativa.</w:t>
            </w:r>
          </w:p>
        </w:tc>
      </w:tr>
      <w:tr w:rsidR="00781DE2" w:rsidRPr="002A54ED" w14:paraId="0FB461F4" w14:textId="77777777" w:rsidTr="00EA446E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23AE" w14:textId="77777777" w:rsidR="00781DE2" w:rsidRPr="002A54ED" w:rsidRDefault="00781DE2" w:rsidP="00EA446E">
            <w:pPr>
              <w:jc w:val="center"/>
              <w:rPr>
                <w:b/>
              </w:rPr>
            </w:pPr>
            <w:r w:rsidRPr="002A54ED">
              <w:rPr>
                <w:b/>
              </w:rPr>
              <w:t>Modalità di Accertamento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C04D" w14:textId="77777777" w:rsidR="00781DE2" w:rsidRDefault="00781DE2" w:rsidP="00EA446E">
            <w:r w:rsidRPr="00467DC3">
              <w:t xml:space="preserve">Esame orale. </w:t>
            </w:r>
          </w:p>
          <w:p w14:paraId="7F321EB7" w14:textId="77777777" w:rsidR="00781DE2" w:rsidRDefault="00781DE2" w:rsidP="00EA446E">
            <w:pPr>
              <w:ind w:left="28"/>
            </w:pPr>
            <w:r>
              <w:t xml:space="preserve">Al fine di superare l’esame lo studente dovrà dimostrare di conoscere sufficientemente il programma nella sua interezza e di essere in grado di esprimerlo con un linguaggio soddisfacente sul piano sintattico e su quello tecnico. La mancanza totale o parziale di tali elementi basici comporterà la valutazione negativa della prova e dunque la non idoneità dello studente al superamento dell’esame. </w:t>
            </w:r>
          </w:p>
          <w:p w14:paraId="361F1AC6" w14:textId="0669A9A0" w:rsidR="00781DE2" w:rsidRPr="002A54ED" w:rsidRDefault="00781DE2" w:rsidP="00535591">
            <w:pPr>
              <w:ind w:left="28"/>
            </w:pPr>
            <w:r>
              <w:t>Accertata la presenza di tali requisiti minimi, la valutazione dello studente, finalizzata all’individuazione del voto finale (da 18 a 30) verrà effettuata mediante i parametri di seguito riportati in forma schematica:</w:t>
            </w:r>
          </w:p>
          <w:tbl>
            <w:tblPr>
              <w:tblW w:w="0" w:type="auto"/>
              <w:tblInd w:w="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21"/>
              <w:gridCol w:w="1911"/>
              <w:gridCol w:w="2073"/>
              <w:gridCol w:w="2087"/>
            </w:tblGrid>
            <w:tr w:rsidR="00781DE2" w:rsidRPr="002A54ED" w14:paraId="1ABCE483" w14:textId="77777777" w:rsidTr="00EA446E">
              <w:tc>
                <w:tcPr>
                  <w:tcW w:w="962" w:type="dxa"/>
                </w:tcPr>
                <w:p w14:paraId="6252E09D" w14:textId="77777777" w:rsidR="00781DE2" w:rsidRPr="002A54ED" w:rsidRDefault="00781DE2" w:rsidP="00EA446E">
                  <w:pPr>
                    <w:rPr>
                      <w:b/>
                    </w:rPr>
                  </w:pPr>
                  <w:r w:rsidRPr="002A54ED">
                    <w:rPr>
                      <w:b/>
                    </w:rPr>
                    <w:t>Votazione</w:t>
                  </w:r>
                </w:p>
              </w:tc>
              <w:tc>
                <w:tcPr>
                  <w:tcW w:w="1911" w:type="dxa"/>
                </w:tcPr>
                <w:p w14:paraId="207FDA34" w14:textId="77777777" w:rsidR="00781DE2" w:rsidRPr="002A54ED" w:rsidRDefault="00781DE2" w:rsidP="00EA446E">
                  <w:pPr>
                    <w:rPr>
                      <w:color w:val="000000"/>
                    </w:rPr>
                  </w:pPr>
                  <w:r w:rsidRPr="002A54ED">
                    <w:rPr>
                      <w:b/>
                      <w:bCs/>
                      <w:color w:val="000000"/>
                    </w:rPr>
                    <w:t>Conoscenza e comprensione dell’argomento</w:t>
                  </w:r>
                </w:p>
              </w:tc>
              <w:tc>
                <w:tcPr>
                  <w:tcW w:w="2073" w:type="dxa"/>
                </w:tcPr>
                <w:p w14:paraId="63E2B755" w14:textId="77777777" w:rsidR="00781DE2" w:rsidRPr="002A54ED" w:rsidRDefault="00781DE2" w:rsidP="00EA446E">
                  <w:pPr>
                    <w:rPr>
                      <w:color w:val="000000"/>
                    </w:rPr>
                  </w:pPr>
                  <w:r w:rsidRPr="002A54ED">
                    <w:rPr>
                      <w:b/>
                      <w:bCs/>
                      <w:color w:val="000000"/>
                    </w:rPr>
                    <w:t>Capacità di analisi e di sintesi</w:t>
                  </w:r>
                </w:p>
              </w:tc>
              <w:tc>
                <w:tcPr>
                  <w:tcW w:w="2087" w:type="dxa"/>
                </w:tcPr>
                <w:p w14:paraId="0BA02BCC" w14:textId="77777777" w:rsidR="00781DE2" w:rsidRPr="002A54ED" w:rsidRDefault="00781DE2" w:rsidP="00EA446E">
                  <w:pPr>
                    <w:rPr>
                      <w:color w:val="000000"/>
                    </w:rPr>
                  </w:pPr>
                  <w:r w:rsidRPr="002A54ED">
                    <w:rPr>
                      <w:b/>
                      <w:bCs/>
                      <w:color w:val="000000"/>
                    </w:rPr>
                    <w:t>Utilizzo di referenze</w:t>
                  </w:r>
                </w:p>
              </w:tc>
            </w:tr>
            <w:tr w:rsidR="00781DE2" w:rsidRPr="002A54ED" w14:paraId="01A778F8" w14:textId="77777777" w:rsidTr="00EA446E">
              <w:tc>
                <w:tcPr>
                  <w:tcW w:w="962" w:type="dxa"/>
                </w:tcPr>
                <w:p w14:paraId="5B97404B" w14:textId="77777777" w:rsidR="00781DE2" w:rsidRPr="002A54ED" w:rsidRDefault="00781DE2" w:rsidP="00EA446E">
                  <w:r w:rsidRPr="002A54ED">
                    <w:t>Non idoneo</w:t>
                  </w:r>
                </w:p>
              </w:tc>
              <w:tc>
                <w:tcPr>
                  <w:tcW w:w="1911" w:type="dxa"/>
                </w:tcPr>
                <w:p w14:paraId="548A5AC1" w14:textId="77777777" w:rsidR="00781DE2" w:rsidRPr="002A54ED" w:rsidRDefault="00781DE2" w:rsidP="00EA446E">
                  <w:pPr>
                    <w:ind w:left="139"/>
                  </w:pPr>
                  <w:r w:rsidRPr="002A54ED">
                    <w:t xml:space="preserve">Importanti carenze. Significative </w:t>
                  </w:r>
                  <w:proofErr w:type="spellStart"/>
                  <w:r w:rsidRPr="002A54ED">
                    <w:t>inaccuratezze</w:t>
                  </w:r>
                  <w:proofErr w:type="spellEnd"/>
                </w:p>
              </w:tc>
              <w:tc>
                <w:tcPr>
                  <w:tcW w:w="2073" w:type="dxa"/>
                </w:tcPr>
                <w:p w14:paraId="5AC89253" w14:textId="77777777" w:rsidR="00781DE2" w:rsidRPr="002A54ED" w:rsidRDefault="00781DE2" w:rsidP="00EA446E">
                  <w:r w:rsidRPr="002A54ED">
                    <w:t>Irrilevanti. Frequenti generalizzazioni. Incapacità di sintesi</w:t>
                  </w:r>
                </w:p>
              </w:tc>
              <w:tc>
                <w:tcPr>
                  <w:tcW w:w="2087" w:type="dxa"/>
                </w:tcPr>
                <w:p w14:paraId="5BA26FCA" w14:textId="77777777" w:rsidR="00781DE2" w:rsidRPr="002A54ED" w:rsidRDefault="00781DE2" w:rsidP="00EA446E">
                  <w:r w:rsidRPr="002A54ED">
                    <w:t>Completamente inappropriato</w:t>
                  </w:r>
                </w:p>
              </w:tc>
            </w:tr>
            <w:tr w:rsidR="00781DE2" w:rsidRPr="002A54ED" w14:paraId="0C2B23A4" w14:textId="77777777" w:rsidTr="00EA446E">
              <w:tc>
                <w:tcPr>
                  <w:tcW w:w="962" w:type="dxa"/>
                </w:tcPr>
                <w:p w14:paraId="10D87ABE" w14:textId="77777777" w:rsidR="00781DE2" w:rsidRPr="002A54ED" w:rsidRDefault="00781DE2" w:rsidP="00EA446E">
                  <w:r w:rsidRPr="002A54ED">
                    <w:t>18-20</w:t>
                  </w:r>
                </w:p>
              </w:tc>
              <w:tc>
                <w:tcPr>
                  <w:tcW w:w="1911" w:type="dxa"/>
                </w:tcPr>
                <w:p w14:paraId="5BE98ACA" w14:textId="77777777" w:rsidR="00781DE2" w:rsidRPr="002A54ED" w:rsidRDefault="00781DE2" w:rsidP="00EA446E">
                  <w:r w:rsidRPr="002A54ED">
                    <w:t>A livello soglia. Imperfezioni evidenti</w:t>
                  </w:r>
                </w:p>
              </w:tc>
              <w:tc>
                <w:tcPr>
                  <w:tcW w:w="2073" w:type="dxa"/>
                </w:tcPr>
                <w:p w14:paraId="297E3C77" w14:textId="77777777" w:rsidR="00781DE2" w:rsidRPr="002A54ED" w:rsidRDefault="00781DE2" w:rsidP="00EA446E">
                  <w:r w:rsidRPr="002A54ED">
                    <w:t>Capacità appena sufficienti</w:t>
                  </w:r>
                </w:p>
              </w:tc>
              <w:tc>
                <w:tcPr>
                  <w:tcW w:w="2087" w:type="dxa"/>
                </w:tcPr>
                <w:p w14:paraId="6AE2718D" w14:textId="77777777" w:rsidR="00781DE2" w:rsidRPr="002A54ED" w:rsidRDefault="00781DE2" w:rsidP="00EA446E">
                  <w:r w:rsidRPr="002A54ED">
                    <w:t>Appena appropriato</w:t>
                  </w:r>
                </w:p>
              </w:tc>
            </w:tr>
            <w:tr w:rsidR="00781DE2" w:rsidRPr="002A54ED" w14:paraId="3C2C1B8B" w14:textId="77777777" w:rsidTr="00EA446E">
              <w:tc>
                <w:tcPr>
                  <w:tcW w:w="962" w:type="dxa"/>
                </w:tcPr>
                <w:p w14:paraId="6E02EFF7" w14:textId="77777777" w:rsidR="00781DE2" w:rsidRPr="002A54ED" w:rsidRDefault="00781DE2" w:rsidP="00EA446E">
                  <w:r w:rsidRPr="002A54ED">
                    <w:t>21-23</w:t>
                  </w:r>
                </w:p>
              </w:tc>
              <w:tc>
                <w:tcPr>
                  <w:tcW w:w="1911" w:type="dxa"/>
                </w:tcPr>
                <w:p w14:paraId="01BCC913" w14:textId="77777777" w:rsidR="00781DE2" w:rsidRPr="002A54ED" w:rsidRDefault="00781DE2" w:rsidP="00EA446E">
                  <w:r w:rsidRPr="002A54ED">
                    <w:t>Conoscenza routinaria</w:t>
                  </w:r>
                </w:p>
              </w:tc>
              <w:tc>
                <w:tcPr>
                  <w:tcW w:w="2073" w:type="dxa"/>
                </w:tcPr>
                <w:p w14:paraId="427A9892" w14:textId="77777777" w:rsidR="00781DE2" w:rsidRPr="002A54ED" w:rsidRDefault="00781DE2" w:rsidP="00EA446E">
                  <w:proofErr w:type="gramStart"/>
                  <w:r w:rsidRPr="002A54ED">
                    <w:t>E’</w:t>
                  </w:r>
                  <w:proofErr w:type="gramEnd"/>
                  <w:r w:rsidRPr="002A54ED">
                    <w:t xml:space="preserve"> in grado di analisi e di sintesi corrette. </w:t>
                  </w:r>
                  <w:r w:rsidRPr="002A54ED">
                    <w:lastRenderedPageBreak/>
                    <w:t>Argomenta in modo logico e coerente</w:t>
                  </w:r>
                </w:p>
              </w:tc>
              <w:tc>
                <w:tcPr>
                  <w:tcW w:w="2087" w:type="dxa"/>
                </w:tcPr>
                <w:p w14:paraId="743BFB7F" w14:textId="77777777" w:rsidR="00781DE2" w:rsidRPr="002A54ED" w:rsidRDefault="00781DE2" w:rsidP="00EA446E">
                  <w:r w:rsidRPr="002A54ED">
                    <w:lastRenderedPageBreak/>
                    <w:t>Utilizza le referenze standard</w:t>
                  </w:r>
                </w:p>
              </w:tc>
            </w:tr>
            <w:tr w:rsidR="00781DE2" w:rsidRPr="002A54ED" w14:paraId="565096A1" w14:textId="77777777" w:rsidTr="00EA446E">
              <w:tc>
                <w:tcPr>
                  <w:tcW w:w="962" w:type="dxa"/>
                </w:tcPr>
                <w:p w14:paraId="03296643" w14:textId="77777777" w:rsidR="00781DE2" w:rsidRPr="002A54ED" w:rsidRDefault="00781DE2" w:rsidP="00EA446E">
                  <w:r w:rsidRPr="002A54ED">
                    <w:t>24-26</w:t>
                  </w:r>
                </w:p>
              </w:tc>
              <w:tc>
                <w:tcPr>
                  <w:tcW w:w="1911" w:type="dxa"/>
                </w:tcPr>
                <w:p w14:paraId="6644C5BF" w14:textId="77777777" w:rsidR="00781DE2" w:rsidRPr="002A54ED" w:rsidRDefault="00781DE2" w:rsidP="00EA446E">
                  <w:r w:rsidRPr="002A54ED">
                    <w:t>Conoscenza buona</w:t>
                  </w:r>
                </w:p>
              </w:tc>
              <w:tc>
                <w:tcPr>
                  <w:tcW w:w="2073" w:type="dxa"/>
                </w:tcPr>
                <w:p w14:paraId="77630D13" w14:textId="77777777" w:rsidR="00781DE2" w:rsidRPr="002A54ED" w:rsidRDefault="00781DE2" w:rsidP="00EA446E">
                  <w:r w:rsidRPr="002A54ED">
                    <w:t>Ha capacità di analisi e di sintesi buone. Gli argomenti sono espressi coerentemente</w:t>
                  </w:r>
                </w:p>
              </w:tc>
              <w:tc>
                <w:tcPr>
                  <w:tcW w:w="2087" w:type="dxa"/>
                </w:tcPr>
                <w:p w14:paraId="2DF976D5" w14:textId="77777777" w:rsidR="00781DE2" w:rsidRPr="002A54ED" w:rsidRDefault="00781DE2" w:rsidP="00EA446E">
                  <w:r w:rsidRPr="002A54ED">
                    <w:t>Utilizza le referenze standard</w:t>
                  </w:r>
                </w:p>
              </w:tc>
            </w:tr>
            <w:tr w:rsidR="00781DE2" w:rsidRPr="002A54ED" w14:paraId="111AB176" w14:textId="77777777" w:rsidTr="00EA446E">
              <w:tc>
                <w:tcPr>
                  <w:tcW w:w="962" w:type="dxa"/>
                </w:tcPr>
                <w:p w14:paraId="6CAF82BD" w14:textId="77777777" w:rsidR="00781DE2" w:rsidRPr="002A54ED" w:rsidRDefault="00781DE2" w:rsidP="00EA446E">
                  <w:r w:rsidRPr="002A54ED">
                    <w:t>27-29</w:t>
                  </w:r>
                </w:p>
              </w:tc>
              <w:tc>
                <w:tcPr>
                  <w:tcW w:w="1911" w:type="dxa"/>
                </w:tcPr>
                <w:p w14:paraId="24378E37" w14:textId="77777777" w:rsidR="00781DE2" w:rsidRPr="002A54ED" w:rsidRDefault="00781DE2" w:rsidP="00EA446E">
                  <w:r w:rsidRPr="002A54ED">
                    <w:t>Conoscenza più che buona</w:t>
                  </w:r>
                </w:p>
              </w:tc>
              <w:tc>
                <w:tcPr>
                  <w:tcW w:w="2073" w:type="dxa"/>
                </w:tcPr>
                <w:p w14:paraId="025789B5" w14:textId="77777777" w:rsidR="00781DE2" w:rsidRPr="002A54ED" w:rsidRDefault="00781DE2" w:rsidP="00EA446E">
                  <w:r w:rsidRPr="002A54ED">
                    <w:t>Ha notevoli capacità di analisi e di sintesi</w:t>
                  </w:r>
                </w:p>
              </w:tc>
              <w:tc>
                <w:tcPr>
                  <w:tcW w:w="2087" w:type="dxa"/>
                </w:tcPr>
                <w:p w14:paraId="734AA14B" w14:textId="77777777" w:rsidR="00781DE2" w:rsidRPr="002A54ED" w:rsidRDefault="00781DE2" w:rsidP="00EA446E">
                  <w:r w:rsidRPr="002A54ED">
                    <w:t>Ha approfondito gli argomenti</w:t>
                  </w:r>
                </w:p>
              </w:tc>
            </w:tr>
            <w:tr w:rsidR="00781DE2" w:rsidRPr="002A54ED" w14:paraId="4423EEFA" w14:textId="77777777" w:rsidTr="00EA446E">
              <w:tc>
                <w:tcPr>
                  <w:tcW w:w="962" w:type="dxa"/>
                </w:tcPr>
                <w:p w14:paraId="4816C5F9" w14:textId="77777777" w:rsidR="00781DE2" w:rsidRPr="002A54ED" w:rsidRDefault="00781DE2" w:rsidP="00EA446E">
                  <w:r w:rsidRPr="002A54ED">
                    <w:t>30-30L</w:t>
                  </w:r>
                </w:p>
              </w:tc>
              <w:tc>
                <w:tcPr>
                  <w:tcW w:w="1911" w:type="dxa"/>
                </w:tcPr>
                <w:p w14:paraId="2CB5AD96" w14:textId="77777777" w:rsidR="00781DE2" w:rsidRPr="002A54ED" w:rsidRDefault="00781DE2" w:rsidP="00EA446E">
                  <w:r w:rsidRPr="002A54ED">
                    <w:t>Conoscenza ottima</w:t>
                  </w:r>
                </w:p>
              </w:tc>
              <w:tc>
                <w:tcPr>
                  <w:tcW w:w="2073" w:type="dxa"/>
                </w:tcPr>
                <w:p w14:paraId="50D11BF2" w14:textId="77777777" w:rsidR="00781DE2" w:rsidRPr="002A54ED" w:rsidRDefault="00781DE2" w:rsidP="00EA446E">
                  <w:r w:rsidRPr="002A54ED">
                    <w:t>Ha ottime capacità di analisi e di sintesi</w:t>
                  </w:r>
                </w:p>
              </w:tc>
              <w:tc>
                <w:tcPr>
                  <w:tcW w:w="2087" w:type="dxa"/>
                </w:tcPr>
                <w:p w14:paraId="012A058F" w14:textId="77777777" w:rsidR="00781DE2" w:rsidRPr="002A54ED" w:rsidRDefault="00781DE2" w:rsidP="00EA446E">
                  <w:r w:rsidRPr="002A54ED">
                    <w:t>Importanti approfondimenti</w:t>
                  </w:r>
                </w:p>
              </w:tc>
            </w:tr>
          </w:tbl>
          <w:p w14:paraId="3193D739" w14:textId="77777777" w:rsidR="00781DE2" w:rsidRPr="002A54ED" w:rsidRDefault="00781DE2" w:rsidP="00EA446E"/>
        </w:tc>
      </w:tr>
    </w:tbl>
    <w:p w14:paraId="161E829E" w14:textId="77777777" w:rsidR="00C42A9E" w:rsidRDefault="00C42A9E" w:rsidP="00535591"/>
    <w:sectPr w:rsidR="00C42A9E" w:rsidSect="0096594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09D1"/>
    <w:multiLevelType w:val="hybridMultilevel"/>
    <w:tmpl w:val="3DF68E28"/>
    <w:lvl w:ilvl="0" w:tplc="4A147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C7BB5"/>
    <w:multiLevelType w:val="hybridMultilevel"/>
    <w:tmpl w:val="D722E9E2"/>
    <w:lvl w:ilvl="0" w:tplc="2848BC06">
      <w:start w:val="19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E2"/>
    <w:rsid w:val="000328E0"/>
    <w:rsid w:val="00296831"/>
    <w:rsid w:val="002C318A"/>
    <w:rsid w:val="00331913"/>
    <w:rsid w:val="003610DF"/>
    <w:rsid w:val="00375EC5"/>
    <w:rsid w:val="003E0A18"/>
    <w:rsid w:val="00432438"/>
    <w:rsid w:val="00535591"/>
    <w:rsid w:val="005F5823"/>
    <w:rsid w:val="00781DE2"/>
    <w:rsid w:val="008D4287"/>
    <w:rsid w:val="009F30F2"/>
    <w:rsid w:val="00A765C7"/>
    <w:rsid w:val="00A961F6"/>
    <w:rsid w:val="00C42A9E"/>
    <w:rsid w:val="00D741D5"/>
    <w:rsid w:val="00DC166A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593E"/>
  <w15:docId w15:val="{846B2A08-F7AD-4BCF-9A4F-9FA0EAF5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1DE2"/>
    <w:pPr>
      <w:jc w:val="left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link w:val="Corpodeltesto20"/>
    <w:rsid w:val="00781DE2"/>
    <w:rPr>
      <w:rFonts w:ascii="Times New Roman" w:eastAsia="Times New Roman" w:hAnsi="Times New Roman"/>
      <w:shd w:val="clear" w:color="auto" w:fill="FFFFFF"/>
    </w:rPr>
  </w:style>
  <w:style w:type="character" w:customStyle="1" w:styleId="Corpodeltesto2BookmanOldStyle11ptGrassetto">
    <w:name w:val="Corpo del testo (2) + Bookman Old Style;11 pt;Grassetto"/>
    <w:rsid w:val="00781DE2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781DE2"/>
    <w:pPr>
      <w:widowControl w:val="0"/>
      <w:shd w:val="clear" w:color="auto" w:fill="FFFFFF"/>
    </w:pPr>
    <w:rPr>
      <w:rFonts w:ascii="Times New Roman" w:eastAsia="Times New Roman" w:hAnsi="Times New Roman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81D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166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741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2C3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tigano@unicz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</dc:creator>
  <cp:lastModifiedBy>Vincenzo</cp:lastModifiedBy>
  <cp:revision>2</cp:revision>
  <dcterms:created xsi:type="dcterms:W3CDTF">2023-08-21T09:40:00Z</dcterms:created>
  <dcterms:modified xsi:type="dcterms:W3CDTF">2023-08-21T09:40:00Z</dcterms:modified>
</cp:coreProperties>
</file>