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947F5" w14:textId="77777777" w:rsidR="00BE455C" w:rsidRPr="00965945" w:rsidRDefault="00BE455C" w:rsidP="00BE455C">
      <w:pPr>
        <w:jc w:val="center"/>
        <w:rPr>
          <w:b/>
          <w:sz w:val="26"/>
          <w:szCs w:val="26"/>
        </w:rPr>
      </w:pPr>
      <w:r w:rsidRPr="00965945">
        <w:rPr>
          <w:b/>
          <w:sz w:val="26"/>
          <w:szCs w:val="26"/>
        </w:rPr>
        <w:t>Corso di Laurea magistrale in Giurisprudenza</w:t>
      </w:r>
    </w:p>
    <w:p w14:paraId="34CA6895" w14:textId="77777777" w:rsidR="00BE455C" w:rsidRPr="00965945" w:rsidRDefault="00BE455C" w:rsidP="00BE455C">
      <w:pPr>
        <w:jc w:val="center"/>
        <w:rPr>
          <w:sz w:val="26"/>
          <w:szCs w:val="26"/>
        </w:rPr>
      </w:pPr>
      <w:r w:rsidRPr="00965945">
        <w:rPr>
          <w:sz w:val="26"/>
          <w:szCs w:val="26"/>
        </w:rPr>
        <w:t>Insegnamento formativo a libera scelta</w:t>
      </w:r>
    </w:p>
    <w:p w14:paraId="541AE927" w14:textId="77777777" w:rsidR="00BE455C" w:rsidRPr="00965945" w:rsidRDefault="00BE455C" w:rsidP="00BE455C">
      <w:pPr>
        <w:jc w:val="center"/>
        <w:rPr>
          <w:b/>
          <w:sz w:val="26"/>
          <w:szCs w:val="26"/>
        </w:rPr>
      </w:pPr>
      <w:r>
        <w:rPr>
          <w:b/>
          <w:sz w:val="26"/>
          <w:szCs w:val="26"/>
        </w:rPr>
        <w:t>Dottrina dello Stato</w:t>
      </w:r>
    </w:p>
    <w:p w14:paraId="276F72E2" w14:textId="23DAB58D" w:rsidR="00BE455C" w:rsidRPr="00965945" w:rsidRDefault="00BA1B89" w:rsidP="00BE455C">
      <w:pPr>
        <w:jc w:val="center"/>
        <w:rPr>
          <w:b/>
          <w:sz w:val="26"/>
          <w:szCs w:val="26"/>
        </w:rPr>
      </w:pPr>
      <w:r>
        <w:rPr>
          <w:b/>
          <w:sz w:val="26"/>
          <w:szCs w:val="26"/>
        </w:rPr>
        <w:t>Anno accademico 202</w:t>
      </w:r>
      <w:r w:rsidR="005879D3">
        <w:rPr>
          <w:b/>
          <w:sz w:val="26"/>
          <w:szCs w:val="26"/>
        </w:rPr>
        <w:t>3</w:t>
      </w:r>
      <w:r>
        <w:rPr>
          <w:b/>
          <w:sz w:val="26"/>
          <w:szCs w:val="26"/>
        </w:rPr>
        <w:t>/202</w:t>
      </w:r>
      <w:r w:rsidR="005879D3">
        <w:rPr>
          <w:b/>
          <w:sz w:val="26"/>
          <w:szCs w:val="26"/>
        </w:rPr>
        <w:t>4</w:t>
      </w:r>
      <w:r w:rsidR="00BE455C" w:rsidRPr="00965945">
        <w:rPr>
          <w:b/>
          <w:sz w:val="26"/>
          <w:szCs w:val="26"/>
        </w:rPr>
        <w:t>, I</w:t>
      </w:r>
      <w:r w:rsidR="00BE455C">
        <w:rPr>
          <w:b/>
          <w:sz w:val="26"/>
          <w:szCs w:val="26"/>
        </w:rPr>
        <w:t>I</w:t>
      </w:r>
      <w:r w:rsidR="00BE455C" w:rsidRPr="00965945">
        <w:rPr>
          <w:b/>
          <w:sz w:val="26"/>
          <w:szCs w:val="26"/>
        </w:rPr>
        <w:t xml:space="preserve"> Semestre, 6 Cfu </w:t>
      </w:r>
    </w:p>
    <w:p w14:paraId="79970949" w14:textId="77777777" w:rsidR="00BE455C" w:rsidRPr="00965945" w:rsidRDefault="00BE455C" w:rsidP="00BE455C">
      <w:pPr>
        <w:jc w:val="center"/>
        <w:rPr>
          <w:sz w:val="16"/>
          <w:szCs w:val="16"/>
        </w:rPr>
      </w:pPr>
    </w:p>
    <w:p w14:paraId="324C36C6" w14:textId="77777777" w:rsidR="00BE455C" w:rsidRPr="00965945" w:rsidRDefault="00BE455C" w:rsidP="00BE455C">
      <w:pPr>
        <w:jc w:val="center"/>
        <w:rPr>
          <w:b/>
          <w:sz w:val="26"/>
          <w:szCs w:val="26"/>
        </w:rPr>
      </w:pPr>
      <w:r w:rsidRPr="00965945">
        <w:rPr>
          <w:sz w:val="26"/>
          <w:szCs w:val="26"/>
        </w:rPr>
        <w:t xml:space="preserve">Docente: </w:t>
      </w:r>
      <w:r>
        <w:rPr>
          <w:b/>
          <w:sz w:val="26"/>
          <w:szCs w:val="26"/>
        </w:rPr>
        <w:t>Prof. Luigi Ventura</w:t>
      </w:r>
    </w:p>
    <w:p w14:paraId="30DE0A25" w14:textId="77777777" w:rsidR="00BE455C" w:rsidRPr="004A4C5C" w:rsidRDefault="00BE455C" w:rsidP="00BE455C">
      <w:pPr>
        <w:jc w:val="center"/>
        <w:rPr>
          <w:rFonts w:ascii="Bookman Old Style" w:hAnsi="Bookman Old Style"/>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BE455C" w:rsidRPr="004A4C5C" w14:paraId="5E540D7B" w14:textId="77777777" w:rsidTr="00BE455C">
        <w:tc>
          <w:tcPr>
            <w:tcW w:w="2449" w:type="dxa"/>
            <w:shd w:val="clear" w:color="auto" w:fill="auto"/>
            <w:vAlign w:val="center"/>
          </w:tcPr>
          <w:p w14:paraId="5137FA78" w14:textId="77777777" w:rsidR="00BE455C" w:rsidRPr="004A4C5C" w:rsidRDefault="00BE455C" w:rsidP="00BE455C">
            <w:pPr>
              <w:jc w:val="center"/>
              <w:rPr>
                <w:b/>
              </w:rPr>
            </w:pPr>
            <w:r w:rsidRPr="004A4C5C">
              <w:rPr>
                <w:b/>
              </w:rPr>
              <w:t>Informazioni Corso</w:t>
            </w:r>
          </w:p>
        </w:tc>
        <w:tc>
          <w:tcPr>
            <w:tcW w:w="8458" w:type="dxa"/>
            <w:shd w:val="clear" w:color="auto" w:fill="auto"/>
          </w:tcPr>
          <w:p w14:paraId="6B909CF1" w14:textId="4129CE5E" w:rsidR="00BE455C" w:rsidRPr="004A4C5C" w:rsidRDefault="00BE455C" w:rsidP="004A4C5C">
            <w:r w:rsidRPr="004A4C5C">
              <w:t>Dottrina dello Stato, 6 CFU, a.a.</w:t>
            </w:r>
            <w:r w:rsidR="00BA1B89">
              <w:t xml:space="preserve"> 202</w:t>
            </w:r>
            <w:r w:rsidR="000057FA">
              <w:t>3</w:t>
            </w:r>
            <w:r w:rsidR="00BA1B89">
              <w:t>-202</w:t>
            </w:r>
            <w:r w:rsidR="000057FA">
              <w:t>4</w:t>
            </w:r>
            <w:r w:rsidRPr="004A4C5C">
              <w:t>, II semestre, insegnamento a libera scelta, Corso di Laurea Magistrale in Giurisprudenza – Ore di lezione 42</w:t>
            </w:r>
          </w:p>
          <w:p w14:paraId="25E1B11B" w14:textId="77777777" w:rsidR="00BE455C" w:rsidRPr="004A4C5C" w:rsidRDefault="00BE455C" w:rsidP="004A4C5C">
            <w:pPr>
              <w:ind w:left="28"/>
            </w:pPr>
            <w:r w:rsidRPr="004A4C5C">
              <w:t>s.s.d. IUS/08</w:t>
            </w:r>
          </w:p>
        </w:tc>
      </w:tr>
      <w:tr w:rsidR="00BE455C" w:rsidRPr="004A4C5C" w14:paraId="6B3C8DD8" w14:textId="77777777" w:rsidTr="00BE455C">
        <w:tc>
          <w:tcPr>
            <w:tcW w:w="2449" w:type="dxa"/>
            <w:shd w:val="clear" w:color="auto" w:fill="auto"/>
            <w:vAlign w:val="center"/>
          </w:tcPr>
          <w:p w14:paraId="59961C1F" w14:textId="77777777" w:rsidR="00BE455C" w:rsidRPr="004A4C5C" w:rsidRDefault="00BE455C" w:rsidP="00BE455C">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4A4C5C">
              <w:rPr>
                <w:rStyle w:val="Corpodeltesto2BookmanOldStyle11ptGrassetto"/>
                <w:rFonts w:ascii="Cambria" w:hAnsi="Cambria"/>
                <w:sz w:val="24"/>
                <w:szCs w:val="24"/>
              </w:rPr>
              <w:t>Informazioni Docente</w:t>
            </w:r>
          </w:p>
        </w:tc>
        <w:tc>
          <w:tcPr>
            <w:tcW w:w="8458" w:type="dxa"/>
            <w:shd w:val="clear" w:color="auto" w:fill="auto"/>
            <w:vAlign w:val="bottom"/>
          </w:tcPr>
          <w:p w14:paraId="6EC1B570" w14:textId="77777777" w:rsidR="00BE455C" w:rsidRPr="004A4C5C" w:rsidRDefault="00BE455C" w:rsidP="004A4C5C">
            <w:r w:rsidRPr="004A4C5C">
              <w:t>Docente: Prof. Luigi Ventura</w:t>
            </w:r>
          </w:p>
          <w:p w14:paraId="185A8446" w14:textId="77777777" w:rsidR="00BE455C" w:rsidRPr="004A4C5C" w:rsidRDefault="00BE455C" w:rsidP="004A4C5C">
            <w:r w:rsidRPr="004A4C5C">
              <w:t>Dipartimento di Giurisprudenza, Economia e Sociologia</w:t>
            </w:r>
          </w:p>
          <w:p w14:paraId="63912B33" w14:textId="77777777" w:rsidR="00BE455C" w:rsidRPr="004A4C5C" w:rsidRDefault="00BE455C" w:rsidP="004A4C5C">
            <w:r w:rsidRPr="004A4C5C">
              <w:t xml:space="preserve">e-mail: </w:t>
            </w:r>
            <w:hyperlink r:id="rId4" w:history="1">
              <w:r w:rsidRPr="004A4C5C">
                <w:rPr>
                  <w:rStyle w:val="Collegamentoipertestuale"/>
                </w:rPr>
                <w:t>ventura@unicz.it</w:t>
              </w:r>
            </w:hyperlink>
          </w:p>
          <w:p w14:paraId="53331F17" w14:textId="7CD2F1EE" w:rsidR="00BE455C" w:rsidRPr="004A4C5C" w:rsidRDefault="00BE455C" w:rsidP="004A4C5C">
            <w:pPr>
              <w:pStyle w:val="Corpodeltesto20"/>
              <w:shd w:val="clear" w:color="auto" w:fill="auto"/>
              <w:rPr>
                <w:rFonts w:ascii="Cambria" w:hAnsi="Cambria"/>
              </w:rPr>
            </w:pPr>
            <w:r w:rsidRPr="004A4C5C">
              <w:rPr>
                <w:rFonts w:ascii="Cambria" w:hAnsi="Cambria"/>
                <w:sz w:val="24"/>
                <w:szCs w:val="24"/>
              </w:rPr>
              <w:t xml:space="preserve">Ricevimento: </w:t>
            </w:r>
            <w:r w:rsidR="007A6244">
              <w:rPr>
                <w:rFonts w:ascii="Cambria" w:hAnsi="Cambria"/>
                <w:sz w:val="24"/>
                <w:szCs w:val="24"/>
              </w:rPr>
              <w:t>previo appuntamento tramite e-mail.</w:t>
            </w:r>
          </w:p>
        </w:tc>
      </w:tr>
      <w:tr w:rsidR="00BE455C" w:rsidRPr="004A4C5C" w14:paraId="611373ED" w14:textId="77777777" w:rsidTr="00BE455C">
        <w:tc>
          <w:tcPr>
            <w:tcW w:w="2449" w:type="dxa"/>
            <w:shd w:val="clear" w:color="auto" w:fill="auto"/>
            <w:vAlign w:val="center"/>
          </w:tcPr>
          <w:p w14:paraId="0D1A852B" w14:textId="77777777" w:rsidR="00BE455C" w:rsidRPr="004A4C5C" w:rsidRDefault="00BE455C" w:rsidP="00BE455C">
            <w:pPr>
              <w:pStyle w:val="Corpodeltesto20"/>
              <w:shd w:val="clear" w:color="auto" w:fill="auto"/>
              <w:spacing w:line="220" w:lineRule="exact"/>
              <w:jc w:val="center"/>
              <w:rPr>
                <w:rFonts w:ascii="Cambria" w:hAnsi="Cambria"/>
              </w:rPr>
            </w:pPr>
            <w:r w:rsidRPr="004A4C5C">
              <w:rPr>
                <w:rStyle w:val="Corpodeltesto2BookmanOldStyle11ptGrassetto"/>
                <w:rFonts w:ascii="Cambria" w:hAnsi="Cambria"/>
                <w:sz w:val="24"/>
                <w:szCs w:val="24"/>
              </w:rPr>
              <w:t>Descrizione del Corso</w:t>
            </w:r>
          </w:p>
        </w:tc>
        <w:tc>
          <w:tcPr>
            <w:tcW w:w="8458" w:type="dxa"/>
            <w:shd w:val="clear" w:color="auto" w:fill="auto"/>
          </w:tcPr>
          <w:p w14:paraId="4D737319" w14:textId="77777777" w:rsidR="00BE455C" w:rsidRPr="004A4C5C" w:rsidRDefault="004A4C5C" w:rsidP="004A4C5C">
            <w:r w:rsidRPr="004A4C5C">
              <w:t>Il corso si articola in lezioni di didattica frontale per un totale di 6 ore settimanali suddivise in tre giorni. Sarà affrontato il programma sotto indicato</w:t>
            </w:r>
          </w:p>
        </w:tc>
      </w:tr>
      <w:tr w:rsidR="00BE455C" w:rsidRPr="004A4C5C" w14:paraId="29FE31E5" w14:textId="77777777" w:rsidTr="004A4C5C">
        <w:trPr>
          <w:trHeight w:val="1520"/>
        </w:trPr>
        <w:tc>
          <w:tcPr>
            <w:tcW w:w="2449" w:type="dxa"/>
            <w:shd w:val="clear" w:color="auto" w:fill="auto"/>
            <w:vAlign w:val="center"/>
          </w:tcPr>
          <w:p w14:paraId="42532FE0" w14:textId="77777777" w:rsidR="00BE455C" w:rsidRPr="004A4C5C" w:rsidRDefault="00BE455C" w:rsidP="00BE455C">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4A4C5C">
              <w:rPr>
                <w:rStyle w:val="Corpodeltesto2BookmanOldStyle11ptGrassetto"/>
                <w:rFonts w:ascii="Cambria" w:hAnsi="Cambria"/>
                <w:sz w:val="24"/>
                <w:szCs w:val="24"/>
              </w:rPr>
              <w:t>Obiettivi del Corso e Risultati di Apprendimento attesi</w:t>
            </w:r>
          </w:p>
        </w:tc>
        <w:tc>
          <w:tcPr>
            <w:tcW w:w="8458" w:type="dxa"/>
            <w:shd w:val="clear" w:color="auto" w:fill="auto"/>
          </w:tcPr>
          <w:p w14:paraId="0C6089FB" w14:textId="77777777" w:rsidR="004A4C5C" w:rsidRPr="004A4C5C" w:rsidRDefault="004A4C5C" w:rsidP="004A4C5C">
            <w:pPr>
              <w:ind w:left="28"/>
              <w:rPr>
                <w:color w:val="000000"/>
              </w:rPr>
            </w:pPr>
            <w:r w:rsidRPr="004A4C5C">
              <w:rPr>
                <w:color w:val="000000"/>
              </w:rPr>
              <w:t xml:space="preserve">L’insegnamento della disciplina mira all’approfondimento dei concetti di Stato, di sovranità, di autorità, libertà ed eguaglianza, con particolare riferimento al tema dei diritti fondamentali e della dignità della persona. Verrà compiuta una ricostruzione delle teorie filosofico-politiche e delle teorie giuridiche sulla sovranità, nonché operata un’analisi, in chiave critica, della teoria della sovranità dei valori. Il corso tenderà, poi, ad un esame del tema dei valori costituzionali nel quadro della forma di governo italiana e dei sistemi politici succedutisi nel tempo, per concludersi con la trattazione dello Stato sociale, della questione della presunta inconciliabilità dei diritti sociali con lo Stato di diritto e del rapporto tra eguaglianza e libertà, nell’ottica della tutela della dignità della persona. </w:t>
            </w:r>
          </w:p>
          <w:p w14:paraId="6E9A2158" w14:textId="77777777" w:rsidR="00BE455C" w:rsidRPr="004A4C5C" w:rsidRDefault="004A4C5C" w:rsidP="004A4C5C">
            <w:pPr>
              <w:ind w:left="28"/>
              <w:rPr>
                <w:color w:val="000000"/>
              </w:rPr>
            </w:pPr>
            <w:r w:rsidRPr="004A4C5C">
              <w:rPr>
                <w:color w:val="000000"/>
              </w:rPr>
              <w:t>Al termine del percorso didattico, lo studente dovrebbe quanto meno conoscere la configurazione degli istituti secondo il programma sotto indicato</w:t>
            </w:r>
          </w:p>
        </w:tc>
      </w:tr>
      <w:tr w:rsidR="00BE455C" w:rsidRPr="004A4C5C" w14:paraId="30B18446" w14:textId="77777777" w:rsidTr="004A4C5C">
        <w:tc>
          <w:tcPr>
            <w:tcW w:w="2449" w:type="dxa"/>
            <w:shd w:val="clear" w:color="auto" w:fill="auto"/>
            <w:vAlign w:val="center"/>
          </w:tcPr>
          <w:p w14:paraId="17CCDAA9" w14:textId="77777777" w:rsidR="00BE455C" w:rsidRPr="004A4C5C" w:rsidRDefault="00BE455C" w:rsidP="00BE455C">
            <w:pPr>
              <w:jc w:val="center"/>
              <w:rPr>
                <w:b/>
              </w:rPr>
            </w:pPr>
            <w:r w:rsidRPr="004A4C5C">
              <w:rPr>
                <w:b/>
              </w:rPr>
              <w:t>Programma (contenuti, modalità di svolgimento)</w:t>
            </w:r>
          </w:p>
          <w:p w14:paraId="28ED4F47" w14:textId="77777777" w:rsidR="00BE455C" w:rsidRPr="004A4C5C" w:rsidRDefault="00BE455C" w:rsidP="00BE455C">
            <w:pPr>
              <w:jc w:val="center"/>
              <w:rPr>
                <w:b/>
              </w:rPr>
            </w:pPr>
            <w:r w:rsidRPr="004A4C5C">
              <w:rPr>
                <w:b/>
              </w:rPr>
              <w:t>Eventuale distinzione programma frequentanti - non frequentanti</w:t>
            </w:r>
          </w:p>
        </w:tc>
        <w:tc>
          <w:tcPr>
            <w:tcW w:w="8458" w:type="dxa"/>
            <w:shd w:val="clear" w:color="auto" w:fill="auto"/>
          </w:tcPr>
          <w:p w14:paraId="33070E04" w14:textId="77777777" w:rsidR="00BE455C" w:rsidRPr="004A4C5C" w:rsidRDefault="004A4C5C" w:rsidP="004A4C5C">
            <w:pPr>
              <w:pStyle w:val="Corpodeltesto20"/>
              <w:rPr>
                <w:rFonts w:ascii="Cambria" w:hAnsi="Cambria"/>
                <w:sz w:val="24"/>
                <w:szCs w:val="24"/>
              </w:rPr>
            </w:pPr>
            <w:r w:rsidRPr="004A4C5C">
              <w:rPr>
                <w:rFonts w:ascii="Cambria" w:hAnsi="Cambria"/>
                <w:sz w:val="24"/>
                <w:szCs w:val="24"/>
              </w:rPr>
              <w:t xml:space="preserve">Introduzione – </w:t>
            </w:r>
            <w:r w:rsidRPr="004A4C5C">
              <w:rPr>
                <w:rFonts w:ascii="Cambria" w:hAnsi="Cambria"/>
                <w:smallCaps/>
                <w:sz w:val="24"/>
                <w:szCs w:val="24"/>
              </w:rPr>
              <w:t>Capitolo</w:t>
            </w:r>
            <w:r w:rsidRPr="004A4C5C">
              <w:rPr>
                <w:rFonts w:ascii="Cambria" w:hAnsi="Cambria"/>
                <w:sz w:val="24"/>
                <w:szCs w:val="24"/>
              </w:rPr>
              <w:t xml:space="preserve"> I – Le teorie filosofico-politiche sulla sovranità. </w:t>
            </w:r>
            <w:r w:rsidRPr="004A4C5C">
              <w:rPr>
                <w:rFonts w:ascii="Cambria" w:hAnsi="Cambria"/>
                <w:smallCaps/>
                <w:sz w:val="24"/>
                <w:szCs w:val="24"/>
              </w:rPr>
              <w:t>Capitolo</w:t>
            </w:r>
            <w:r w:rsidRPr="004A4C5C">
              <w:rPr>
                <w:rFonts w:ascii="Cambria" w:hAnsi="Cambria"/>
                <w:sz w:val="24"/>
                <w:szCs w:val="24"/>
              </w:rPr>
              <w:t xml:space="preserve"> II – Teorie giuridiche. </w:t>
            </w:r>
            <w:r w:rsidRPr="004A4C5C">
              <w:rPr>
                <w:rFonts w:ascii="Cambria" w:hAnsi="Cambria"/>
                <w:smallCaps/>
                <w:sz w:val="24"/>
                <w:szCs w:val="24"/>
              </w:rPr>
              <w:t>Capitolo</w:t>
            </w:r>
            <w:r w:rsidRPr="004A4C5C">
              <w:rPr>
                <w:rFonts w:ascii="Cambria" w:hAnsi="Cambria"/>
                <w:sz w:val="24"/>
                <w:szCs w:val="24"/>
              </w:rPr>
              <w:t xml:space="preserve"> III – La sovranità dei valori. </w:t>
            </w:r>
            <w:r w:rsidRPr="004A4C5C">
              <w:rPr>
                <w:rFonts w:ascii="Cambria" w:hAnsi="Cambria"/>
                <w:smallCaps/>
                <w:sz w:val="24"/>
                <w:szCs w:val="24"/>
              </w:rPr>
              <w:t>Capitolo</w:t>
            </w:r>
            <w:r w:rsidRPr="004A4C5C">
              <w:rPr>
                <w:rFonts w:ascii="Cambria" w:hAnsi="Cambria"/>
                <w:sz w:val="24"/>
                <w:szCs w:val="24"/>
              </w:rPr>
              <w:t xml:space="preserve"> IV - Valori costituzionali ed Unità nazionale. </w:t>
            </w:r>
            <w:r w:rsidRPr="004A4C5C">
              <w:rPr>
                <w:rFonts w:ascii="Cambria" w:hAnsi="Cambria"/>
                <w:smallCaps/>
                <w:sz w:val="24"/>
                <w:szCs w:val="24"/>
              </w:rPr>
              <w:t>Capitolo</w:t>
            </w:r>
            <w:r w:rsidRPr="004A4C5C">
              <w:rPr>
                <w:rFonts w:ascii="Cambria" w:hAnsi="Cambria"/>
                <w:sz w:val="24"/>
                <w:szCs w:val="24"/>
              </w:rPr>
              <w:t xml:space="preserve"> V – Lo Stato sociale. </w:t>
            </w:r>
            <w:r w:rsidRPr="004A4C5C">
              <w:rPr>
                <w:rFonts w:ascii="Cambria" w:hAnsi="Cambria"/>
                <w:smallCaps/>
                <w:sz w:val="24"/>
                <w:szCs w:val="24"/>
              </w:rPr>
              <w:t>Capitolo</w:t>
            </w:r>
            <w:r w:rsidRPr="004A4C5C">
              <w:rPr>
                <w:rFonts w:ascii="Cambria" w:hAnsi="Cambria"/>
                <w:sz w:val="24"/>
                <w:szCs w:val="24"/>
              </w:rPr>
              <w:t xml:space="preserve"> VI – La presunta inconciliabilità dei diritti sociali con lo Stato di diritto. Libertà ed eguaglianza. La necessaria garanzia della sovranità.</w:t>
            </w:r>
          </w:p>
        </w:tc>
      </w:tr>
      <w:tr w:rsidR="00BE455C" w:rsidRPr="004A4C5C" w14:paraId="6A4A3434" w14:textId="77777777" w:rsidTr="00BE455C">
        <w:tc>
          <w:tcPr>
            <w:tcW w:w="2449" w:type="dxa"/>
            <w:shd w:val="clear" w:color="auto" w:fill="auto"/>
            <w:vAlign w:val="center"/>
          </w:tcPr>
          <w:p w14:paraId="252C3C96" w14:textId="77777777" w:rsidR="00BE455C" w:rsidRPr="004A4C5C" w:rsidRDefault="00BE455C" w:rsidP="00BE455C">
            <w:pPr>
              <w:jc w:val="center"/>
              <w:rPr>
                <w:b/>
              </w:rPr>
            </w:pPr>
            <w:r w:rsidRPr="004A4C5C">
              <w:rPr>
                <w:b/>
              </w:rPr>
              <w:t>Stima dell’Impegno Orario richiesto per lo Studio individuale</w:t>
            </w:r>
          </w:p>
        </w:tc>
        <w:tc>
          <w:tcPr>
            <w:tcW w:w="8458" w:type="dxa"/>
            <w:shd w:val="clear" w:color="auto" w:fill="auto"/>
          </w:tcPr>
          <w:p w14:paraId="2D1D0116" w14:textId="77777777" w:rsidR="004A4C5C" w:rsidRPr="004A4C5C" w:rsidRDefault="004A4C5C" w:rsidP="004A4C5C">
            <w:r w:rsidRPr="004A4C5C">
              <w:t>Fermo restando il regolamento didattico di Ateneo e la soggettività delle modalità di studio di ciascuno studente, si stima, per difetto, un impegno di studio di 160 ore di studio.</w:t>
            </w:r>
          </w:p>
          <w:p w14:paraId="4CBF847B" w14:textId="77777777" w:rsidR="00BE455C" w:rsidRPr="004A4C5C" w:rsidRDefault="00BE455C" w:rsidP="004A4C5C"/>
        </w:tc>
      </w:tr>
      <w:tr w:rsidR="00BE455C" w:rsidRPr="004A4C5C" w14:paraId="494C4023" w14:textId="77777777" w:rsidTr="00BE455C">
        <w:tc>
          <w:tcPr>
            <w:tcW w:w="2449" w:type="dxa"/>
            <w:shd w:val="clear" w:color="auto" w:fill="auto"/>
            <w:vAlign w:val="center"/>
          </w:tcPr>
          <w:p w14:paraId="3BC1A0B5" w14:textId="77777777" w:rsidR="00BE455C" w:rsidRPr="004A4C5C" w:rsidRDefault="00BE455C" w:rsidP="00BE455C">
            <w:pPr>
              <w:jc w:val="center"/>
              <w:rPr>
                <w:b/>
              </w:rPr>
            </w:pPr>
            <w:r w:rsidRPr="004A4C5C">
              <w:rPr>
                <w:b/>
              </w:rPr>
              <w:t>Metodi di Insegnamento utilizzati</w:t>
            </w:r>
          </w:p>
        </w:tc>
        <w:tc>
          <w:tcPr>
            <w:tcW w:w="8458" w:type="dxa"/>
            <w:shd w:val="clear" w:color="auto" w:fill="auto"/>
          </w:tcPr>
          <w:p w14:paraId="0E3F1639" w14:textId="77777777" w:rsidR="004A4C5C" w:rsidRPr="004A4C5C" w:rsidRDefault="004A4C5C" w:rsidP="004A4C5C">
            <w:pPr>
              <w:ind w:left="28"/>
            </w:pPr>
            <w:r w:rsidRPr="004A4C5C">
              <w:t>Lezioni di didattica frontale, seminari, esercitazioni di approfondimento, tenuti anche da docenti esterni.</w:t>
            </w:r>
          </w:p>
          <w:p w14:paraId="254453B6" w14:textId="77777777" w:rsidR="00BE455C" w:rsidRPr="004A4C5C" w:rsidRDefault="00BE455C" w:rsidP="004A4C5C"/>
        </w:tc>
      </w:tr>
      <w:tr w:rsidR="00BE455C" w:rsidRPr="004A4C5C" w14:paraId="26D5B81E" w14:textId="77777777" w:rsidTr="00BE455C">
        <w:tc>
          <w:tcPr>
            <w:tcW w:w="2449" w:type="dxa"/>
            <w:shd w:val="clear" w:color="auto" w:fill="auto"/>
            <w:vAlign w:val="center"/>
          </w:tcPr>
          <w:p w14:paraId="0D456273" w14:textId="77777777" w:rsidR="00BE455C" w:rsidRPr="004A4C5C" w:rsidRDefault="00BE455C" w:rsidP="00BE455C">
            <w:pPr>
              <w:jc w:val="center"/>
              <w:rPr>
                <w:b/>
              </w:rPr>
            </w:pPr>
            <w:r w:rsidRPr="004A4C5C">
              <w:rPr>
                <w:b/>
              </w:rPr>
              <w:t xml:space="preserve">Risorse per l’Apprendimento (libri di testo consigliati, eventuali ulteriori letture consigliate </w:t>
            </w:r>
            <w:r w:rsidRPr="004A4C5C">
              <w:rPr>
                <w:b/>
              </w:rPr>
              <w:lastRenderedPageBreak/>
              <w:t>per approfondimento, altro materiale didattico)</w:t>
            </w:r>
          </w:p>
        </w:tc>
        <w:tc>
          <w:tcPr>
            <w:tcW w:w="8458" w:type="dxa"/>
            <w:shd w:val="clear" w:color="auto" w:fill="auto"/>
          </w:tcPr>
          <w:p w14:paraId="39DE8030" w14:textId="77777777" w:rsidR="004A4C5C" w:rsidRPr="004A4C5C" w:rsidRDefault="004A4C5C" w:rsidP="004A4C5C">
            <w:r w:rsidRPr="004A4C5C">
              <w:lastRenderedPageBreak/>
              <w:t>Testi consigliati:</w:t>
            </w:r>
          </w:p>
          <w:p w14:paraId="27E883EF" w14:textId="77777777" w:rsidR="004A4C5C" w:rsidRPr="004A4C5C" w:rsidRDefault="004A4C5C" w:rsidP="004A4C5C">
            <w:r w:rsidRPr="004A4C5C">
              <w:t xml:space="preserve">L. </w:t>
            </w:r>
            <w:r w:rsidRPr="004A4C5C">
              <w:rPr>
                <w:smallCaps/>
              </w:rPr>
              <w:t>Ventura</w:t>
            </w:r>
            <w:r w:rsidRPr="004A4C5C">
              <w:t xml:space="preserve">, </w:t>
            </w:r>
            <w:r w:rsidRPr="004A4C5C">
              <w:rPr>
                <w:i/>
              </w:rPr>
              <w:t>Sovranità. Da J. Bodin alla crisi dello Stato sociale</w:t>
            </w:r>
            <w:r w:rsidRPr="004A4C5C">
              <w:t xml:space="preserve">, Giappichelli – Torino 2014. </w:t>
            </w:r>
          </w:p>
          <w:p w14:paraId="1E1A4124" w14:textId="77777777" w:rsidR="004A4C5C" w:rsidRPr="004A4C5C" w:rsidRDefault="004A4C5C" w:rsidP="004A4C5C">
            <w:pPr>
              <w:ind w:left="28"/>
            </w:pPr>
            <w:r w:rsidRPr="004A4C5C">
              <w:t>Ulteriori approfondimenti potranno essere indicati dal docente durante lo svolgimento del corso.</w:t>
            </w:r>
          </w:p>
          <w:p w14:paraId="7041C955" w14:textId="77777777" w:rsidR="00BE455C" w:rsidRPr="004A4C5C" w:rsidRDefault="00BE455C" w:rsidP="004A4C5C"/>
        </w:tc>
      </w:tr>
      <w:tr w:rsidR="00BE455C" w:rsidRPr="004A4C5C" w14:paraId="313096FA" w14:textId="77777777" w:rsidTr="00BE455C">
        <w:tc>
          <w:tcPr>
            <w:tcW w:w="2449" w:type="dxa"/>
            <w:shd w:val="clear" w:color="auto" w:fill="auto"/>
            <w:vAlign w:val="center"/>
          </w:tcPr>
          <w:p w14:paraId="700522A6" w14:textId="77777777" w:rsidR="00BE455C" w:rsidRPr="004A4C5C" w:rsidRDefault="00BE455C" w:rsidP="00BE455C">
            <w:pPr>
              <w:jc w:val="center"/>
              <w:rPr>
                <w:b/>
              </w:rPr>
            </w:pPr>
            <w:r w:rsidRPr="004A4C5C">
              <w:rPr>
                <w:b/>
              </w:rPr>
              <w:t>Attività di Supporto</w:t>
            </w:r>
          </w:p>
        </w:tc>
        <w:tc>
          <w:tcPr>
            <w:tcW w:w="8458" w:type="dxa"/>
            <w:shd w:val="clear" w:color="auto" w:fill="auto"/>
          </w:tcPr>
          <w:p w14:paraId="100F2CA6" w14:textId="77777777" w:rsidR="00BE455C" w:rsidRPr="004A4C5C" w:rsidRDefault="004A4C5C" w:rsidP="004A4C5C">
            <w:r w:rsidRPr="004A4C5C">
              <w:t>Possono essere concordati con gli studenti ulteriori  percorsi di approfondimento</w:t>
            </w:r>
          </w:p>
        </w:tc>
      </w:tr>
      <w:tr w:rsidR="00BE455C" w:rsidRPr="004A4C5C" w14:paraId="5AEA5DF8" w14:textId="77777777" w:rsidTr="00BE455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01CB0EA" w14:textId="77777777" w:rsidR="00BE455C" w:rsidRPr="004A4C5C" w:rsidRDefault="00BE455C" w:rsidP="00BE455C">
            <w:pPr>
              <w:jc w:val="center"/>
              <w:rPr>
                <w:b/>
              </w:rPr>
            </w:pPr>
            <w:r w:rsidRPr="004A4C5C">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57BBCE68" w14:textId="77777777" w:rsidR="00BE455C" w:rsidRPr="004A4C5C" w:rsidRDefault="004A4C5C" w:rsidP="004A4C5C">
            <w:r w:rsidRPr="004A4C5C">
              <w:t>La frequenza al corso non è obbligatoria</w:t>
            </w:r>
          </w:p>
        </w:tc>
      </w:tr>
      <w:tr w:rsidR="00BE455C" w:rsidRPr="004A4C5C" w14:paraId="2F8DF651" w14:textId="77777777" w:rsidTr="00BE455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6C23EC66" w14:textId="77777777" w:rsidR="00BE455C" w:rsidRPr="004A4C5C" w:rsidRDefault="00BE455C" w:rsidP="00BE455C">
            <w:pPr>
              <w:jc w:val="center"/>
              <w:rPr>
                <w:b/>
              </w:rPr>
            </w:pPr>
            <w:r w:rsidRPr="004A4C5C">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931082E" w14:textId="77777777" w:rsidR="004A4C5C" w:rsidRPr="004A4C5C" w:rsidRDefault="004A4C5C" w:rsidP="004A4C5C">
            <w:r w:rsidRPr="004A4C5C">
              <w:t xml:space="preserve">Esame orale. </w:t>
            </w:r>
          </w:p>
          <w:p w14:paraId="2913A1C2" w14:textId="77777777" w:rsidR="004A4C5C" w:rsidRPr="004A4C5C" w:rsidRDefault="004A4C5C" w:rsidP="004A4C5C">
            <w:pPr>
              <w:ind w:left="28"/>
            </w:pPr>
            <w:r w:rsidRPr="004A4C5C">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7131492B" w14:textId="77777777" w:rsidR="00BE455C" w:rsidRPr="004A4C5C" w:rsidRDefault="004A4C5C" w:rsidP="004A4C5C">
            <w:r w:rsidRPr="004A4C5C">
              <w:t>Accertata la presenza di tali requisiti minimi, la valutazione dello studente, finalizzata all’individuazione del voto finale (da 18 a 30) verrà effettuata mediante i parametri di seguito riportati in forma schematica:</w:t>
            </w:r>
          </w:p>
          <w:p w14:paraId="0AD0F195" w14:textId="77777777" w:rsidR="004A4C5C" w:rsidRPr="004A4C5C" w:rsidRDefault="004A4C5C" w:rsidP="004A4C5C"/>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BE455C" w:rsidRPr="004A4C5C" w14:paraId="6727F643" w14:textId="77777777" w:rsidTr="000B1931">
              <w:tc>
                <w:tcPr>
                  <w:tcW w:w="962" w:type="dxa"/>
                </w:tcPr>
                <w:p w14:paraId="0CD09775" w14:textId="77777777" w:rsidR="00BE455C" w:rsidRPr="004A4C5C" w:rsidRDefault="00BE455C" w:rsidP="000B1931">
                  <w:pPr>
                    <w:rPr>
                      <w:b/>
                    </w:rPr>
                  </w:pPr>
                  <w:r w:rsidRPr="004A4C5C">
                    <w:rPr>
                      <w:b/>
                    </w:rPr>
                    <w:t>Votazione</w:t>
                  </w:r>
                </w:p>
              </w:tc>
              <w:tc>
                <w:tcPr>
                  <w:tcW w:w="1911" w:type="dxa"/>
                </w:tcPr>
                <w:p w14:paraId="394F0B11" w14:textId="77777777" w:rsidR="00BE455C" w:rsidRPr="004A4C5C" w:rsidRDefault="00BE455C" w:rsidP="000B1931">
                  <w:pPr>
                    <w:rPr>
                      <w:color w:val="000000"/>
                    </w:rPr>
                  </w:pPr>
                  <w:r w:rsidRPr="004A4C5C">
                    <w:rPr>
                      <w:b/>
                      <w:bCs/>
                      <w:color w:val="000000"/>
                    </w:rPr>
                    <w:t>Conoscenza e comprensione dell’argomento</w:t>
                  </w:r>
                </w:p>
              </w:tc>
              <w:tc>
                <w:tcPr>
                  <w:tcW w:w="2073" w:type="dxa"/>
                </w:tcPr>
                <w:p w14:paraId="2868616C" w14:textId="77777777" w:rsidR="00BE455C" w:rsidRPr="004A4C5C" w:rsidRDefault="00BE455C" w:rsidP="000B1931">
                  <w:pPr>
                    <w:rPr>
                      <w:color w:val="000000"/>
                    </w:rPr>
                  </w:pPr>
                  <w:r w:rsidRPr="004A4C5C">
                    <w:rPr>
                      <w:b/>
                      <w:bCs/>
                      <w:color w:val="000000"/>
                    </w:rPr>
                    <w:t>Capacità di analisi e di sintesi</w:t>
                  </w:r>
                </w:p>
              </w:tc>
              <w:tc>
                <w:tcPr>
                  <w:tcW w:w="2087" w:type="dxa"/>
                </w:tcPr>
                <w:p w14:paraId="476E2255" w14:textId="77777777" w:rsidR="00BE455C" w:rsidRPr="004A4C5C" w:rsidRDefault="00BE455C" w:rsidP="000B1931">
                  <w:pPr>
                    <w:rPr>
                      <w:color w:val="000000"/>
                    </w:rPr>
                  </w:pPr>
                  <w:r w:rsidRPr="004A4C5C">
                    <w:rPr>
                      <w:b/>
                      <w:bCs/>
                      <w:color w:val="000000"/>
                    </w:rPr>
                    <w:t>Utilizzo di referenze</w:t>
                  </w:r>
                </w:p>
              </w:tc>
            </w:tr>
            <w:tr w:rsidR="00BE455C" w:rsidRPr="004A4C5C" w14:paraId="782EBEB8" w14:textId="77777777" w:rsidTr="000B1931">
              <w:tc>
                <w:tcPr>
                  <w:tcW w:w="962" w:type="dxa"/>
                </w:tcPr>
                <w:p w14:paraId="031F4AF3" w14:textId="77777777" w:rsidR="00BE455C" w:rsidRPr="004A4C5C" w:rsidRDefault="00BE455C" w:rsidP="000B1931">
                  <w:r w:rsidRPr="004A4C5C">
                    <w:t>Non idoneo</w:t>
                  </w:r>
                </w:p>
              </w:tc>
              <w:tc>
                <w:tcPr>
                  <w:tcW w:w="1911" w:type="dxa"/>
                </w:tcPr>
                <w:p w14:paraId="628B0140" w14:textId="77777777" w:rsidR="00BE455C" w:rsidRPr="004A4C5C" w:rsidRDefault="00BE455C" w:rsidP="000B1931">
                  <w:pPr>
                    <w:ind w:left="139"/>
                  </w:pPr>
                  <w:r w:rsidRPr="004A4C5C">
                    <w:t>Importanti carenze. Significative inaccuratezze</w:t>
                  </w:r>
                </w:p>
              </w:tc>
              <w:tc>
                <w:tcPr>
                  <w:tcW w:w="2073" w:type="dxa"/>
                </w:tcPr>
                <w:p w14:paraId="09BBDE34" w14:textId="77777777" w:rsidR="00BE455C" w:rsidRPr="004A4C5C" w:rsidRDefault="00BE455C" w:rsidP="000B1931">
                  <w:r w:rsidRPr="004A4C5C">
                    <w:t>Irrilevanti. Frequenti generalizzazioni. Incapacità di sintesi</w:t>
                  </w:r>
                </w:p>
              </w:tc>
              <w:tc>
                <w:tcPr>
                  <w:tcW w:w="2087" w:type="dxa"/>
                </w:tcPr>
                <w:p w14:paraId="0748353B" w14:textId="77777777" w:rsidR="00BE455C" w:rsidRPr="004A4C5C" w:rsidRDefault="00BE455C" w:rsidP="000B1931">
                  <w:r w:rsidRPr="004A4C5C">
                    <w:t>Completamente inappropriato</w:t>
                  </w:r>
                </w:p>
              </w:tc>
            </w:tr>
            <w:tr w:rsidR="00BE455C" w:rsidRPr="004A4C5C" w14:paraId="001678AA" w14:textId="77777777" w:rsidTr="000B1931">
              <w:tc>
                <w:tcPr>
                  <w:tcW w:w="962" w:type="dxa"/>
                </w:tcPr>
                <w:p w14:paraId="34579214" w14:textId="77777777" w:rsidR="00BE455C" w:rsidRPr="004A4C5C" w:rsidRDefault="00BE455C" w:rsidP="000B1931">
                  <w:r w:rsidRPr="004A4C5C">
                    <w:t>18-20</w:t>
                  </w:r>
                </w:p>
              </w:tc>
              <w:tc>
                <w:tcPr>
                  <w:tcW w:w="1911" w:type="dxa"/>
                </w:tcPr>
                <w:p w14:paraId="1E8BDF36" w14:textId="77777777" w:rsidR="00BE455C" w:rsidRPr="004A4C5C" w:rsidRDefault="00BE455C" w:rsidP="000B1931">
                  <w:r w:rsidRPr="004A4C5C">
                    <w:t>A livello soglia. Imperfezioni evidenti</w:t>
                  </w:r>
                </w:p>
              </w:tc>
              <w:tc>
                <w:tcPr>
                  <w:tcW w:w="2073" w:type="dxa"/>
                </w:tcPr>
                <w:p w14:paraId="76FEDB34" w14:textId="77777777" w:rsidR="00BE455C" w:rsidRPr="004A4C5C" w:rsidRDefault="00BE455C" w:rsidP="000B1931">
                  <w:r w:rsidRPr="004A4C5C">
                    <w:t>Capacità appena sufficienti</w:t>
                  </w:r>
                </w:p>
              </w:tc>
              <w:tc>
                <w:tcPr>
                  <w:tcW w:w="2087" w:type="dxa"/>
                </w:tcPr>
                <w:p w14:paraId="2A2C49C3" w14:textId="77777777" w:rsidR="00BE455C" w:rsidRPr="004A4C5C" w:rsidRDefault="00BE455C" w:rsidP="000B1931">
                  <w:r w:rsidRPr="004A4C5C">
                    <w:t>Appena appropriato</w:t>
                  </w:r>
                </w:p>
              </w:tc>
            </w:tr>
            <w:tr w:rsidR="00BE455C" w:rsidRPr="004A4C5C" w14:paraId="0EE3A7D2" w14:textId="77777777" w:rsidTr="000B1931">
              <w:tc>
                <w:tcPr>
                  <w:tcW w:w="962" w:type="dxa"/>
                </w:tcPr>
                <w:p w14:paraId="791FB56C" w14:textId="77777777" w:rsidR="00BE455C" w:rsidRPr="004A4C5C" w:rsidRDefault="00BE455C" w:rsidP="000B1931">
                  <w:r w:rsidRPr="004A4C5C">
                    <w:t>21-23</w:t>
                  </w:r>
                </w:p>
              </w:tc>
              <w:tc>
                <w:tcPr>
                  <w:tcW w:w="1911" w:type="dxa"/>
                </w:tcPr>
                <w:p w14:paraId="507FDBC2" w14:textId="77777777" w:rsidR="00BE455C" w:rsidRPr="004A4C5C" w:rsidRDefault="00BE455C" w:rsidP="000B1931">
                  <w:r w:rsidRPr="004A4C5C">
                    <w:t>Conoscenza routinaria</w:t>
                  </w:r>
                </w:p>
              </w:tc>
              <w:tc>
                <w:tcPr>
                  <w:tcW w:w="2073" w:type="dxa"/>
                </w:tcPr>
                <w:p w14:paraId="541E7BC4" w14:textId="77777777" w:rsidR="00BE455C" w:rsidRPr="004A4C5C" w:rsidRDefault="00BE455C" w:rsidP="000B1931">
                  <w:r w:rsidRPr="004A4C5C">
                    <w:t>E’ in grado di analisi e di sintesi corrette. Argomenta in modo logico e coerente</w:t>
                  </w:r>
                </w:p>
              </w:tc>
              <w:tc>
                <w:tcPr>
                  <w:tcW w:w="2087" w:type="dxa"/>
                </w:tcPr>
                <w:p w14:paraId="307EE353" w14:textId="77777777" w:rsidR="00BE455C" w:rsidRPr="004A4C5C" w:rsidRDefault="00BE455C" w:rsidP="000B1931">
                  <w:r w:rsidRPr="004A4C5C">
                    <w:t>Utilizza le referenze standard</w:t>
                  </w:r>
                </w:p>
              </w:tc>
            </w:tr>
            <w:tr w:rsidR="00BE455C" w:rsidRPr="004A4C5C" w14:paraId="0C5C5798" w14:textId="77777777" w:rsidTr="000B1931">
              <w:tc>
                <w:tcPr>
                  <w:tcW w:w="962" w:type="dxa"/>
                </w:tcPr>
                <w:p w14:paraId="4EA9CD66" w14:textId="77777777" w:rsidR="00BE455C" w:rsidRPr="004A4C5C" w:rsidRDefault="00BE455C" w:rsidP="000B1931">
                  <w:r w:rsidRPr="004A4C5C">
                    <w:t>24-26</w:t>
                  </w:r>
                </w:p>
              </w:tc>
              <w:tc>
                <w:tcPr>
                  <w:tcW w:w="1911" w:type="dxa"/>
                </w:tcPr>
                <w:p w14:paraId="63399F0A" w14:textId="77777777" w:rsidR="00BE455C" w:rsidRPr="004A4C5C" w:rsidRDefault="00BE455C" w:rsidP="000B1931">
                  <w:r w:rsidRPr="004A4C5C">
                    <w:t>Conoscenza buona</w:t>
                  </w:r>
                </w:p>
              </w:tc>
              <w:tc>
                <w:tcPr>
                  <w:tcW w:w="2073" w:type="dxa"/>
                </w:tcPr>
                <w:p w14:paraId="34972C6F" w14:textId="77777777" w:rsidR="00BE455C" w:rsidRPr="004A4C5C" w:rsidRDefault="00BE455C" w:rsidP="000B1931">
                  <w:r w:rsidRPr="004A4C5C">
                    <w:t>Ha capacità di analisi e di sintesi buone. Gli argomenti sono espressi coerentemente</w:t>
                  </w:r>
                </w:p>
              </w:tc>
              <w:tc>
                <w:tcPr>
                  <w:tcW w:w="2087" w:type="dxa"/>
                </w:tcPr>
                <w:p w14:paraId="26906416" w14:textId="77777777" w:rsidR="00BE455C" w:rsidRPr="004A4C5C" w:rsidRDefault="00BE455C" w:rsidP="000B1931">
                  <w:r w:rsidRPr="004A4C5C">
                    <w:t>Utilizza le referenze standard</w:t>
                  </w:r>
                </w:p>
              </w:tc>
            </w:tr>
            <w:tr w:rsidR="00BE455C" w:rsidRPr="004A4C5C" w14:paraId="5DA9BAF3" w14:textId="77777777" w:rsidTr="000B1931">
              <w:tc>
                <w:tcPr>
                  <w:tcW w:w="962" w:type="dxa"/>
                </w:tcPr>
                <w:p w14:paraId="4D990D27" w14:textId="77777777" w:rsidR="00BE455C" w:rsidRPr="004A4C5C" w:rsidRDefault="00BE455C" w:rsidP="000B1931">
                  <w:r w:rsidRPr="004A4C5C">
                    <w:t>27-29</w:t>
                  </w:r>
                </w:p>
              </w:tc>
              <w:tc>
                <w:tcPr>
                  <w:tcW w:w="1911" w:type="dxa"/>
                </w:tcPr>
                <w:p w14:paraId="039A6E15" w14:textId="77777777" w:rsidR="00BE455C" w:rsidRPr="004A4C5C" w:rsidRDefault="00BE455C" w:rsidP="000B1931">
                  <w:r w:rsidRPr="004A4C5C">
                    <w:t>Conoscenza più che buona</w:t>
                  </w:r>
                </w:p>
              </w:tc>
              <w:tc>
                <w:tcPr>
                  <w:tcW w:w="2073" w:type="dxa"/>
                </w:tcPr>
                <w:p w14:paraId="567DD818" w14:textId="77777777" w:rsidR="00BE455C" w:rsidRPr="004A4C5C" w:rsidRDefault="00BE455C" w:rsidP="000B1931">
                  <w:r w:rsidRPr="004A4C5C">
                    <w:t>Ha notevoli capacità di analisi e di sintesi</w:t>
                  </w:r>
                </w:p>
              </w:tc>
              <w:tc>
                <w:tcPr>
                  <w:tcW w:w="2087" w:type="dxa"/>
                </w:tcPr>
                <w:p w14:paraId="34D800F6" w14:textId="77777777" w:rsidR="00BE455C" w:rsidRPr="004A4C5C" w:rsidRDefault="00BE455C" w:rsidP="000B1931">
                  <w:r w:rsidRPr="004A4C5C">
                    <w:t>Ha approfondito gli argomenti</w:t>
                  </w:r>
                </w:p>
              </w:tc>
            </w:tr>
            <w:tr w:rsidR="00BE455C" w:rsidRPr="004A4C5C" w14:paraId="550A4E22" w14:textId="77777777" w:rsidTr="000B1931">
              <w:tc>
                <w:tcPr>
                  <w:tcW w:w="962" w:type="dxa"/>
                </w:tcPr>
                <w:p w14:paraId="5375F775" w14:textId="77777777" w:rsidR="00BE455C" w:rsidRPr="004A4C5C" w:rsidRDefault="00BE455C" w:rsidP="000B1931">
                  <w:r w:rsidRPr="004A4C5C">
                    <w:t>30-30L</w:t>
                  </w:r>
                </w:p>
              </w:tc>
              <w:tc>
                <w:tcPr>
                  <w:tcW w:w="1911" w:type="dxa"/>
                </w:tcPr>
                <w:p w14:paraId="6FA33505" w14:textId="77777777" w:rsidR="00BE455C" w:rsidRPr="004A4C5C" w:rsidRDefault="00BE455C" w:rsidP="000B1931">
                  <w:r w:rsidRPr="004A4C5C">
                    <w:t>Conoscenza ottima</w:t>
                  </w:r>
                </w:p>
              </w:tc>
              <w:tc>
                <w:tcPr>
                  <w:tcW w:w="2073" w:type="dxa"/>
                </w:tcPr>
                <w:p w14:paraId="6335E1C6" w14:textId="77777777" w:rsidR="00BE455C" w:rsidRPr="004A4C5C" w:rsidRDefault="00BE455C" w:rsidP="000B1931">
                  <w:r w:rsidRPr="004A4C5C">
                    <w:t>Ha ottime capacità di analisi e di sintesi</w:t>
                  </w:r>
                </w:p>
              </w:tc>
              <w:tc>
                <w:tcPr>
                  <w:tcW w:w="2087" w:type="dxa"/>
                </w:tcPr>
                <w:p w14:paraId="25234492" w14:textId="77777777" w:rsidR="00BE455C" w:rsidRPr="004A4C5C" w:rsidRDefault="00BE455C" w:rsidP="000B1931">
                  <w:r w:rsidRPr="004A4C5C">
                    <w:t>Importanti approfondimenti</w:t>
                  </w:r>
                </w:p>
              </w:tc>
            </w:tr>
          </w:tbl>
          <w:p w14:paraId="076457EE" w14:textId="77777777" w:rsidR="00BE455C" w:rsidRPr="004A4C5C" w:rsidRDefault="00BE455C" w:rsidP="000B1931"/>
        </w:tc>
      </w:tr>
    </w:tbl>
    <w:p w14:paraId="742F4562" w14:textId="77777777" w:rsidR="00C42A9E" w:rsidRDefault="00C42A9E"/>
    <w:sectPr w:rsidR="00C42A9E" w:rsidSect="004A4C5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E455C"/>
    <w:rsid w:val="000057FA"/>
    <w:rsid w:val="0013508A"/>
    <w:rsid w:val="00296831"/>
    <w:rsid w:val="004A4C5C"/>
    <w:rsid w:val="005879D3"/>
    <w:rsid w:val="007A6244"/>
    <w:rsid w:val="009F30F2"/>
    <w:rsid w:val="00A37EBF"/>
    <w:rsid w:val="00A57F31"/>
    <w:rsid w:val="00A961F6"/>
    <w:rsid w:val="00BA1B89"/>
    <w:rsid w:val="00BE455C"/>
    <w:rsid w:val="00C42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A158"/>
  <w15:docId w15:val="{0951C83F-D236-4A95-BFCF-B349E40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455C"/>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BE455C"/>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BE455C"/>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BE455C"/>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BE4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tura@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656</Words>
  <Characters>4054</Characters>
  <Application>Microsoft Office Word</Application>
  <DocSecurity>0</DocSecurity>
  <Lines>50</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A B</cp:lastModifiedBy>
  <cp:revision>6</cp:revision>
  <cp:lastPrinted>2023-07-08T17:51:00Z</cp:lastPrinted>
  <dcterms:created xsi:type="dcterms:W3CDTF">2020-03-06T15:16:00Z</dcterms:created>
  <dcterms:modified xsi:type="dcterms:W3CDTF">2023-07-08T17:51:00Z</dcterms:modified>
</cp:coreProperties>
</file>