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052E4" w14:textId="2F136BC4" w:rsidR="0078017F" w:rsidRDefault="0078017F" w:rsidP="0078017F">
      <w:pPr>
        <w:pStyle w:val="NormaleWeb"/>
      </w:pPr>
      <w:r>
        <w:rPr>
          <w:rFonts w:ascii="Cambria" w:hAnsi="Cambria"/>
          <w:b/>
          <w:bCs/>
          <w:color w:val="335989"/>
          <w:sz w:val="32"/>
          <w:szCs w:val="32"/>
        </w:rPr>
        <w:t xml:space="preserve">Scienza e società A.A 2023/2024 </w:t>
      </w:r>
    </w:p>
    <w:p w14:paraId="61F8F1A8" w14:textId="77777777" w:rsidR="0078017F" w:rsidRDefault="0078017F" w:rsidP="0078017F">
      <w:pPr>
        <w:pStyle w:val="NormaleWeb"/>
      </w:pPr>
      <w:r>
        <w:rPr>
          <w:rFonts w:ascii="Cambria" w:hAnsi="Cambria"/>
        </w:rPr>
        <w:t>Prof. Cleto Corposanto</w:t>
      </w:r>
      <w:r>
        <w:rPr>
          <w:rFonts w:ascii="Cambria" w:hAnsi="Cambria"/>
        </w:rPr>
        <w:br/>
        <w:t xml:space="preserve">CORSO DI LAUREA: Sociologia </w:t>
      </w:r>
    </w:p>
    <w:p w14:paraId="265BAB8D" w14:textId="77777777" w:rsidR="0078017F" w:rsidRDefault="0078017F" w:rsidP="0078017F">
      <w:pPr>
        <w:pStyle w:val="NormaleWeb"/>
      </w:pPr>
      <w:r>
        <w:rPr>
          <w:rFonts w:ascii="Cambria" w:hAnsi="Cambria"/>
          <w:b/>
          <w:bCs/>
          <w:color w:val="4C7FBC"/>
          <w:sz w:val="26"/>
          <w:szCs w:val="26"/>
        </w:rPr>
        <w:t xml:space="preserve">Informazioni Corso </w:t>
      </w:r>
    </w:p>
    <w:p w14:paraId="25D0FAD2" w14:textId="1F987027" w:rsidR="0078017F" w:rsidRDefault="0078017F" w:rsidP="0078017F">
      <w:pPr>
        <w:pStyle w:val="NormaleWeb"/>
      </w:pPr>
      <w:r>
        <w:rPr>
          <w:rFonts w:ascii="Cambria" w:hAnsi="Cambria"/>
        </w:rPr>
        <w:t>8 CFU, 48 ORE, II semestre (a libera scelta)</w:t>
      </w:r>
    </w:p>
    <w:p w14:paraId="5D32FF69" w14:textId="77777777" w:rsidR="0078017F" w:rsidRDefault="0078017F" w:rsidP="0078017F">
      <w:pPr>
        <w:pStyle w:val="NormaleWeb"/>
      </w:pPr>
      <w:r>
        <w:rPr>
          <w:rFonts w:ascii="Cambria" w:hAnsi="Cambria"/>
          <w:b/>
          <w:bCs/>
          <w:color w:val="4C7FBC"/>
          <w:sz w:val="26"/>
          <w:szCs w:val="26"/>
        </w:rPr>
        <w:t xml:space="preserve">Informazioni Docente </w:t>
      </w:r>
    </w:p>
    <w:p w14:paraId="087D5709" w14:textId="77777777" w:rsidR="0078017F" w:rsidRDefault="0078017F" w:rsidP="0078017F">
      <w:pPr>
        <w:pStyle w:val="NormaleWeb"/>
      </w:pPr>
      <w:r>
        <w:rPr>
          <w:rFonts w:ascii="Cambria" w:hAnsi="Cambria"/>
          <w:color w:val="232323"/>
          <w:sz w:val="28"/>
          <w:szCs w:val="28"/>
        </w:rPr>
        <w:t xml:space="preserve">Il ricevimento studenti è previsto a fine lezione. Gli studenti e i tesisti potranno comunque richiedere ulteriori incontri inviando una mail all’indirizzo di posta elettronica cleto.corposanto@unicz.it. </w:t>
      </w:r>
    </w:p>
    <w:p w14:paraId="4B80995C" w14:textId="77777777" w:rsidR="0078017F" w:rsidRDefault="0078017F" w:rsidP="0078017F">
      <w:pPr>
        <w:pStyle w:val="NormaleWeb"/>
      </w:pPr>
      <w:r>
        <w:rPr>
          <w:rFonts w:ascii="Cambria" w:hAnsi="Cambria"/>
          <w:b/>
          <w:bCs/>
          <w:color w:val="4C7FBC"/>
          <w:sz w:val="26"/>
          <w:szCs w:val="26"/>
        </w:rPr>
        <w:t xml:space="preserve">Descrizione del Corso </w:t>
      </w:r>
    </w:p>
    <w:p w14:paraId="1F8834E4" w14:textId="77777777" w:rsidR="0078017F" w:rsidRDefault="0078017F" w:rsidP="0078017F">
      <w:pPr>
        <w:pStyle w:val="NormaleWeb"/>
        <w:rPr>
          <w:rFonts w:ascii="Cambria" w:hAnsi="Cambria"/>
          <w:color w:val="232323"/>
          <w:sz w:val="28"/>
          <w:szCs w:val="28"/>
        </w:rPr>
      </w:pPr>
      <w:r>
        <w:rPr>
          <w:rFonts w:ascii="Cambria" w:hAnsi="Cambria"/>
          <w:color w:val="232323"/>
          <w:sz w:val="28"/>
          <w:szCs w:val="28"/>
        </w:rPr>
        <w:t>Il corso è diviso in 2 moduli di 24 ore ciascuno.</w:t>
      </w:r>
    </w:p>
    <w:p w14:paraId="4761D9D5" w14:textId="77777777" w:rsidR="0078017F" w:rsidRDefault="0078017F" w:rsidP="0078017F">
      <w:pPr>
        <w:pStyle w:val="NormaleWeb"/>
        <w:rPr>
          <w:rFonts w:ascii="Cambria" w:hAnsi="Cambria"/>
          <w:color w:val="232323"/>
          <w:sz w:val="28"/>
          <w:szCs w:val="28"/>
        </w:rPr>
      </w:pPr>
      <w:r>
        <w:rPr>
          <w:rFonts w:ascii="Cambria" w:hAnsi="Cambria"/>
          <w:color w:val="232323"/>
          <w:sz w:val="28"/>
          <w:szCs w:val="28"/>
        </w:rPr>
        <w:t>Modulo 1: Scienza e società</w:t>
      </w:r>
    </w:p>
    <w:p w14:paraId="0FEE9367" w14:textId="77777777" w:rsidR="0078017F" w:rsidRDefault="0078017F" w:rsidP="0078017F">
      <w:pPr>
        <w:pStyle w:val="NormaleWeb"/>
        <w:rPr>
          <w:rFonts w:ascii="Cambria" w:hAnsi="Cambria"/>
          <w:color w:val="232323"/>
          <w:sz w:val="28"/>
          <w:szCs w:val="28"/>
        </w:rPr>
      </w:pPr>
      <w:r>
        <w:rPr>
          <w:rFonts w:ascii="Cambria" w:hAnsi="Cambria"/>
          <w:color w:val="232323"/>
          <w:sz w:val="28"/>
          <w:szCs w:val="28"/>
        </w:rPr>
        <w:t>Nel modulo saranno affrontate le tematiche riguardanti il legame che sussiste tra scienza e società̀ al fine di evidenziare il ruolo che la sociologia apporta nei meccanismi e nei processi che avvengono in contesti legati alla scoperta.</w:t>
      </w:r>
      <w:r>
        <w:rPr>
          <w:rFonts w:ascii="Cambria" w:hAnsi="Cambria"/>
          <w:color w:val="232323"/>
          <w:sz w:val="28"/>
          <w:szCs w:val="28"/>
        </w:rPr>
        <w:br/>
        <w:t xml:space="preserve">Quanto discusso sarà̀ approfondito attraverso esempi concreti e studi di caso inerenti </w:t>
      </w:r>
      <w:proofErr w:type="gramStart"/>
      <w:r>
        <w:rPr>
          <w:rFonts w:ascii="Cambria" w:hAnsi="Cambria"/>
          <w:color w:val="232323"/>
          <w:sz w:val="28"/>
          <w:szCs w:val="28"/>
        </w:rPr>
        <w:t>il</w:t>
      </w:r>
      <w:proofErr w:type="gramEnd"/>
      <w:r>
        <w:rPr>
          <w:rFonts w:ascii="Cambria" w:hAnsi="Cambria"/>
          <w:color w:val="232323"/>
          <w:sz w:val="28"/>
          <w:szCs w:val="28"/>
        </w:rPr>
        <w:t xml:space="preserve"> contesto odierno, con uno sguardo rivolto anche al passato, per porre in rilievo le trasformazioni sopraggiunte con il trascorrere del tempo. </w:t>
      </w:r>
    </w:p>
    <w:p w14:paraId="4E9993C9" w14:textId="77777777" w:rsidR="0078017F" w:rsidRDefault="0078017F" w:rsidP="0078017F">
      <w:pPr>
        <w:pStyle w:val="NormaleWeb"/>
        <w:rPr>
          <w:rFonts w:ascii="Cambria" w:hAnsi="Cambria"/>
          <w:color w:val="232323"/>
          <w:sz w:val="28"/>
          <w:szCs w:val="28"/>
        </w:rPr>
      </w:pPr>
      <w:r>
        <w:rPr>
          <w:rFonts w:ascii="Cambria" w:hAnsi="Cambria"/>
          <w:color w:val="232323"/>
          <w:sz w:val="28"/>
          <w:szCs w:val="28"/>
        </w:rPr>
        <w:t>Modulo 2: La complessità e i sistemi complessi</w:t>
      </w:r>
    </w:p>
    <w:p w14:paraId="74C756CA" w14:textId="77777777" w:rsidR="0078017F" w:rsidRPr="00650313" w:rsidRDefault="0078017F" w:rsidP="0078017F">
      <w:pPr>
        <w:pStyle w:val="NormaleWeb"/>
        <w:rPr>
          <w:rFonts w:ascii="Cambria" w:hAnsi="Cambria"/>
          <w:color w:val="232323"/>
          <w:sz w:val="28"/>
          <w:szCs w:val="28"/>
        </w:rPr>
      </w:pPr>
      <w:r>
        <w:rPr>
          <w:rFonts w:ascii="Cambria" w:hAnsi="Cambria"/>
          <w:color w:val="232323"/>
          <w:sz w:val="28"/>
          <w:szCs w:val="28"/>
        </w:rPr>
        <w:t xml:space="preserve">Nel modulo si affronteranno i temi della complessità e dei sistemi complessi anche in forma seminariale con l’intervento di alcuni fra gli studiosi più importanti a livello nazionale e internazionale sul tema.  </w:t>
      </w:r>
    </w:p>
    <w:p w14:paraId="1E597C3F" w14:textId="77777777" w:rsidR="0078017F" w:rsidRDefault="0078017F" w:rsidP="0078017F">
      <w:pPr>
        <w:pStyle w:val="NormaleWeb"/>
      </w:pPr>
      <w:r>
        <w:rPr>
          <w:rFonts w:ascii="Cambria" w:hAnsi="Cambria"/>
          <w:b/>
          <w:bCs/>
          <w:color w:val="4C7FBC"/>
          <w:sz w:val="26"/>
          <w:szCs w:val="26"/>
        </w:rPr>
        <w:t xml:space="preserve">Obiettivi del Corso e Risultati di apprendimento attesi </w:t>
      </w:r>
    </w:p>
    <w:p w14:paraId="6A002FE9" w14:textId="77777777" w:rsidR="0078017F" w:rsidRDefault="0078017F" w:rsidP="0078017F">
      <w:pPr>
        <w:pStyle w:val="NormaleWeb"/>
      </w:pPr>
      <w:r>
        <w:rPr>
          <w:rFonts w:ascii="Cambria" w:hAnsi="Cambria"/>
          <w:color w:val="232323"/>
          <w:sz w:val="28"/>
          <w:szCs w:val="28"/>
        </w:rPr>
        <w:t xml:space="preserve">Al termine del corso lo studente dovrà̀ aver acquisito i concetti chiave della sociologia della scienza non solo da un punto di vista teorico, ma dovrà saper altresì̀ applicare le conoscenze apprese in contesti odierni, con particolare attenzione alle innovazioni scientifiche. In particolare, lo studente dovrà̀ aver appreso il legame che sussiste tra sociologia della scienza e le interazioni che intercorrono con gli altri ambiti scientifico-disciplinari. </w:t>
      </w:r>
    </w:p>
    <w:p w14:paraId="243AF23C" w14:textId="77777777" w:rsidR="0078017F" w:rsidRDefault="0078017F" w:rsidP="0078017F">
      <w:pPr>
        <w:pStyle w:val="NormaleWeb"/>
        <w:rPr>
          <w:rFonts w:ascii="Cambria" w:hAnsi="Cambria"/>
          <w:b/>
          <w:bCs/>
          <w:color w:val="4C7FBC"/>
          <w:sz w:val="26"/>
          <w:szCs w:val="26"/>
        </w:rPr>
      </w:pPr>
    </w:p>
    <w:p w14:paraId="046BB38E" w14:textId="77777777" w:rsidR="0078017F" w:rsidRDefault="0078017F" w:rsidP="0078017F">
      <w:pPr>
        <w:pStyle w:val="NormaleWeb"/>
        <w:rPr>
          <w:rFonts w:ascii="Cambria" w:hAnsi="Cambria"/>
          <w:b/>
          <w:bCs/>
          <w:color w:val="4C7FBC"/>
          <w:sz w:val="26"/>
          <w:szCs w:val="26"/>
        </w:rPr>
      </w:pPr>
    </w:p>
    <w:p w14:paraId="32D3F433" w14:textId="77777777" w:rsidR="0078017F" w:rsidRDefault="0078017F" w:rsidP="0078017F">
      <w:pPr>
        <w:pStyle w:val="NormaleWeb"/>
      </w:pPr>
      <w:r>
        <w:rPr>
          <w:rFonts w:ascii="Cambria" w:hAnsi="Cambria"/>
          <w:b/>
          <w:bCs/>
          <w:color w:val="4C7FBC"/>
          <w:sz w:val="26"/>
          <w:szCs w:val="26"/>
        </w:rPr>
        <w:lastRenderedPageBreak/>
        <w:t xml:space="preserve">Programma </w:t>
      </w:r>
    </w:p>
    <w:p w14:paraId="084C296A" w14:textId="77777777" w:rsidR="0078017F" w:rsidRPr="00274FC3" w:rsidRDefault="0078017F" w:rsidP="0078017F">
      <w:pPr>
        <w:pStyle w:val="NormaleWeb"/>
        <w:numPr>
          <w:ilvl w:val="0"/>
          <w:numId w:val="1"/>
        </w:numPr>
        <w:rPr>
          <w:rFonts w:ascii="SymbolMT" w:hAnsi="SymbolMT"/>
          <w:color w:val="232323"/>
          <w:sz w:val="28"/>
          <w:szCs w:val="28"/>
        </w:rPr>
      </w:pPr>
      <w:r>
        <w:rPr>
          <w:rFonts w:ascii="Cambria" w:hAnsi="Cambria"/>
          <w:color w:val="232323"/>
          <w:sz w:val="28"/>
          <w:szCs w:val="28"/>
        </w:rPr>
        <w:t>Perché occorre ripensare la scienza: il riemergere dello scientismo e la scienza come impresa umanistica</w:t>
      </w:r>
    </w:p>
    <w:p w14:paraId="6CDD75A9" w14:textId="77777777" w:rsidR="0078017F" w:rsidRPr="00274FC3" w:rsidRDefault="0078017F" w:rsidP="0078017F">
      <w:pPr>
        <w:pStyle w:val="NormaleWeb"/>
        <w:numPr>
          <w:ilvl w:val="0"/>
          <w:numId w:val="1"/>
        </w:numPr>
        <w:rPr>
          <w:rFonts w:ascii="SymbolMT" w:hAnsi="SymbolMT"/>
          <w:color w:val="232323"/>
          <w:sz w:val="28"/>
          <w:szCs w:val="28"/>
        </w:rPr>
      </w:pPr>
      <w:r>
        <w:rPr>
          <w:rFonts w:ascii="Cambria" w:hAnsi="Cambria"/>
          <w:color w:val="232323"/>
          <w:sz w:val="28"/>
          <w:szCs w:val="28"/>
        </w:rPr>
        <w:t>I fondamenti delle conoscenze umane e scientifiche: gnoseologia ed epistemologia</w:t>
      </w:r>
    </w:p>
    <w:p w14:paraId="06F7D068" w14:textId="77777777" w:rsidR="0078017F" w:rsidRPr="00274FC3" w:rsidRDefault="0078017F" w:rsidP="0078017F">
      <w:pPr>
        <w:pStyle w:val="NormaleWeb"/>
        <w:numPr>
          <w:ilvl w:val="0"/>
          <w:numId w:val="1"/>
        </w:numPr>
        <w:rPr>
          <w:rFonts w:ascii="SymbolMT" w:hAnsi="SymbolMT"/>
          <w:color w:val="232323"/>
          <w:sz w:val="28"/>
          <w:szCs w:val="28"/>
        </w:rPr>
      </w:pPr>
      <w:r>
        <w:rPr>
          <w:rFonts w:ascii="Cambria" w:hAnsi="Cambria"/>
          <w:color w:val="232323"/>
          <w:sz w:val="28"/>
          <w:szCs w:val="28"/>
        </w:rPr>
        <w:t>La società nella scienza: Popper, Kuhn, Feyerabend, Merton, Latour</w:t>
      </w:r>
    </w:p>
    <w:p w14:paraId="6C02CA92" w14:textId="77777777" w:rsidR="0078017F" w:rsidRPr="00650313" w:rsidRDefault="0078017F" w:rsidP="0078017F">
      <w:pPr>
        <w:pStyle w:val="NormaleWeb"/>
        <w:numPr>
          <w:ilvl w:val="0"/>
          <w:numId w:val="1"/>
        </w:numPr>
        <w:rPr>
          <w:rFonts w:ascii="SymbolMT" w:hAnsi="SymbolMT"/>
          <w:color w:val="232323"/>
          <w:sz w:val="28"/>
          <w:szCs w:val="28"/>
        </w:rPr>
      </w:pPr>
      <w:r>
        <w:rPr>
          <w:rFonts w:ascii="Cambria" w:hAnsi="Cambria"/>
          <w:color w:val="232323"/>
          <w:sz w:val="28"/>
          <w:szCs w:val="28"/>
        </w:rPr>
        <w:t>La complessità come evento ontologico</w:t>
      </w:r>
    </w:p>
    <w:p w14:paraId="422223FF" w14:textId="77777777" w:rsidR="0078017F" w:rsidRDefault="0078017F" w:rsidP="0078017F">
      <w:pPr>
        <w:pStyle w:val="NormaleWeb"/>
        <w:numPr>
          <w:ilvl w:val="0"/>
          <w:numId w:val="1"/>
        </w:numPr>
        <w:rPr>
          <w:rFonts w:ascii="SymbolMT" w:hAnsi="SymbolMT"/>
          <w:color w:val="232323"/>
          <w:sz w:val="28"/>
          <w:szCs w:val="28"/>
        </w:rPr>
      </w:pPr>
      <w:r>
        <w:rPr>
          <w:rFonts w:ascii="Cambria" w:hAnsi="Cambria"/>
          <w:color w:val="232323"/>
          <w:sz w:val="28"/>
          <w:szCs w:val="28"/>
        </w:rPr>
        <w:t>I sistemi complessi</w:t>
      </w:r>
    </w:p>
    <w:p w14:paraId="32CBC946" w14:textId="77777777" w:rsidR="0078017F" w:rsidRDefault="0078017F" w:rsidP="0078017F">
      <w:pPr>
        <w:pStyle w:val="NormaleWeb"/>
        <w:ind w:left="720"/>
      </w:pPr>
      <w:r>
        <w:rPr>
          <w:rFonts w:ascii="Cambria" w:hAnsi="Cambria"/>
          <w:color w:val="232323"/>
          <w:sz w:val="28"/>
          <w:szCs w:val="28"/>
        </w:rPr>
        <w:t xml:space="preserve"> </w:t>
      </w:r>
    </w:p>
    <w:p w14:paraId="4EF561E3" w14:textId="77777777" w:rsidR="0078017F" w:rsidRDefault="0078017F" w:rsidP="0078017F">
      <w:pPr>
        <w:pStyle w:val="NormaleWeb"/>
      </w:pPr>
      <w:r>
        <w:rPr>
          <w:rFonts w:ascii="Cambria" w:hAnsi="Cambria"/>
          <w:b/>
          <w:bCs/>
          <w:color w:val="4C7FBC"/>
          <w:sz w:val="26"/>
          <w:szCs w:val="26"/>
        </w:rPr>
        <w:t xml:space="preserve">Stima dell’impegno orario richiesto per lo studio individuale del programma </w:t>
      </w:r>
    </w:p>
    <w:p w14:paraId="36B92B0A" w14:textId="77777777" w:rsidR="0078017F" w:rsidRDefault="0078017F" w:rsidP="0078017F">
      <w:pPr>
        <w:pStyle w:val="NormaleWeb"/>
      </w:pPr>
      <w:r>
        <w:rPr>
          <w:rFonts w:ascii="Cambria" w:hAnsi="Cambria"/>
          <w:color w:val="232323"/>
          <w:sz w:val="28"/>
          <w:szCs w:val="28"/>
        </w:rPr>
        <w:t xml:space="preserve">La preparazione all’esame richiede uno studio di 150 ore circa oltre alle 48 ore di lezione svolte in aula. </w:t>
      </w:r>
    </w:p>
    <w:p w14:paraId="78B4F5D9" w14:textId="77777777" w:rsidR="0078017F" w:rsidRDefault="0078017F" w:rsidP="0078017F">
      <w:pPr>
        <w:pStyle w:val="NormaleWeb"/>
      </w:pPr>
      <w:r>
        <w:rPr>
          <w:rFonts w:ascii="Cambria" w:hAnsi="Cambria"/>
          <w:b/>
          <w:bCs/>
          <w:color w:val="4C7FBC"/>
          <w:sz w:val="26"/>
          <w:szCs w:val="26"/>
        </w:rPr>
        <w:t xml:space="preserve">Metodi Insegnamento utilizzati </w:t>
      </w:r>
    </w:p>
    <w:p w14:paraId="51487028" w14:textId="77777777" w:rsidR="0078017F" w:rsidRDefault="0078017F" w:rsidP="0078017F">
      <w:pPr>
        <w:pStyle w:val="NormaleWeb"/>
      </w:pPr>
      <w:r>
        <w:rPr>
          <w:rFonts w:ascii="Cambria" w:hAnsi="Cambria"/>
          <w:color w:val="232323"/>
          <w:sz w:val="28"/>
          <w:szCs w:val="28"/>
        </w:rPr>
        <w:t xml:space="preserve">Lezioni frontali, seminari, esercitazioni, cooperative learning, studio di casi. </w:t>
      </w:r>
    </w:p>
    <w:p w14:paraId="63037EC7" w14:textId="77777777" w:rsidR="0078017F" w:rsidRDefault="0078017F" w:rsidP="0078017F">
      <w:pPr>
        <w:pStyle w:val="NormaleWeb"/>
      </w:pPr>
      <w:r>
        <w:rPr>
          <w:rFonts w:ascii="Cambria" w:hAnsi="Cambria"/>
          <w:b/>
          <w:bCs/>
          <w:color w:val="4C7FBC"/>
          <w:sz w:val="26"/>
          <w:szCs w:val="26"/>
        </w:rPr>
        <w:t xml:space="preserve">Risorse per l’apprendimento </w:t>
      </w:r>
    </w:p>
    <w:p w14:paraId="182386BD" w14:textId="77777777" w:rsidR="0078017F" w:rsidRDefault="0078017F" w:rsidP="0078017F">
      <w:pPr>
        <w:pStyle w:val="NormaleWeb"/>
      </w:pPr>
      <w:r>
        <w:rPr>
          <w:rFonts w:ascii="Cambria" w:hAnsi="Cambria"/>
          <w:color w:val="232323"/>
          <w:sz w:val="28"/>
          <w:szCs w:val="28"/>
        </w:rPr>
        <w:t xml:space="preserve">Libri di testo obbligatori: </w:t>
      </w:r>
    </w:p>
    <w:p w14:paraId="25F4D076" w14:textId="77777777" w:rsidR="0078017F" w:rsidRPr="00DC2110" w:rsidRDefault="0078017F" w:rsidP="0078017F">
      <w:pPr>
        <w:pStyle w:val="NormaleWeb"/>
        <w:numPr>
          <w:ilvl w:val="0"/>
          <w:numId w:val="3"/>
        </w:numPr>
        <w:rPr>
          <w:rFonts w:ascii="Cambria" w:hAnsi="Cambria"/>
          <w:color w:val="232323"/>
          <w:sz w:val="28"/>
          <w:szCs w:val="28"/>
        </w:rPr>
      </w:pPr>
      <w:r>
        <w:rPr>
          <w:rFonts w:ascii="Cambria" w:hAnsi="Cambria"/>
          <w:color w:val="232323"/>
          <w:sz w:val="28"/>
          <w:szCs w:val="28"/>
        </w:rPr>
        <w:t>Corposanto C., Storie di scienza e società. Pensare sociologicamente nell’era delle tecnoscienze, #sociologie, Rubbettino, Soveria Mannelli, 2023</w:t>
      </w:r>
    </w:p>
    <w:p w14:paraId="3BEE0381" w14:textId="77777777" w:rsidR="0078017F" w:rsidRDefault="0078017F" w:rsidP="0078017F">
      <w:pPr>
        <w:pStyle w:val="NormaleWeb"/>
        <w:numPr>
          <w:ilvl w:val="0"/>
          <w:numId w:val="3"/>
        </w:numPr>
        <w:rPr>
          <w:rFonts w:ascii="Cambria" w:hAnsi="Cambria"/>
          <w:color w:val="232323"/>
          <w:sz w:val="28"/>
          <w:szCs w:val="28"/>
        </w:rPr>
      </w:pPr>
      <w:r>
        <w:rPr>
          <w:rFonts w:ascii="Cambria" w:hAnsi="Cambria"/>
          <w:color w:val="232323"/>
          <w:sz w:val="28"/>
          <w:szCs w:val="28"/>
        </w:rPr>
        <w:t xml:space="preserve">Dominici P., Oltre i cigni neri. L’urgenza di aprirsi all’indeterminato, </w:t>
      </w:r>
      <w:proofErr w:type="spellStart"/>
      <w:r>
        <w:rPr>
          <w:rFonts w:ascii="Cambria" w:hAnsi="Cambria"/>
          <w:color w:val="232323"/>
          <w:sz w:val="28"/>
          <w:szCs w:val="28"/>
        </w:rPr>
        <w:t>FrancoAngeli</w:t>
      </w:r>
      <w:proofErr w:type="spellEnd"/>
      <w:r>
        <w:rPr>
          <w:rFonts w:ascii="Cambria" w:hAnsi="Cambria"/>
          <w:color w:val="232323"/>
          <w:sz w:val="28"/>
          <w:szCs w:val="28"/>
        </w:rPr>
        <w:t>, Milano, 2023</w:t>
      </w:r>
    </w:p>
    <w:p w14:paraId="35092E07" w14:textId="77777777" w:rsidR="0078017F" w:rsidRDefault="0078017F" w:rsidP="0078017F">
      <w:pPr>
        <w:pStyle w:val="NormaleWeb"/>
        <w:ind w:left="720"/>
        <w:rPr>
          <w:rFonts w:ascii="SymbolMT" w:hAnsi="SymbolMT"/>
          <w:color w:val="232323"/>
          <w:sz w:val="28"/>
          <w:szCs w:val="28"/>
        </w:rPr>
      </w:pPr>
      <w:r>
        <w:rPr>
          <w:rFonts w:ascii="Cambria" w:hAnsi="Cambria"/>
          <w:color w:val="232323"/>
          <w:sz w:val="28"/>
          <w:szCs w:val="28"/>
        </w:rPr>
        <w:t>Letture consigliate:</w:t>
      </w:r>
    </w:p>
    <w:p w14:paraId="3C3784EE" w14:textId="77777777" w:rsidR="0078017F" w:rsidRDefault="0078017F" w:rsidP="0078017F">
      <w:pPr>
        <w:pStyle w:val="NormaleWeb"/>
        <w:numPr>
          <w:ilvl w:val="0"/>
          <w:numId w:val="2"/>
        </w:numPr>
        <w:rPr>
          <w:rFonts w:ascii="Cambria" w:hAnsi="Cambria"/>
          <w:color w:val="232323"/>
          <w:sz w:val="28"/>
          <w:szCs w:val="28"/>
        </w:rPr>
      </w:pPr>
      <w:r>
        <w:rPr>
          <w:rFonts w:ascii="Cambria" w:hAnsi="Cambria"/>
          <w:color w:val="232323"/>
          <w:sz w:val="28"/>
          <w:szCs w:val="28"/>
        </w:rPr>
        <w:t xml:space="preserve">T. S. Kuhn, </w:t>
      </w:r>
      <w:r w:rsidRPr="00E01CA1">
        <w:rPr>
          <w:rFonts w:ascii="Cambria" w:hAnsi="Cambria"/>
          <w:color w:val="232323"/>
          <w:sz w:val="28"/>
          <w:szCs w:val="28"/>
        </w:rPr>
        <w:t>La struttura delle rivoluzioni scientifiche</w:t>
      </w:r>
      <w:r>
        <w:rPr>
          <w:rFonts w:ascii="Cambria" w:hAnsi="Cambria"/>
          <w:color w:val="232323"/>
          <w:sz w:val="28"/>
          <w:szCs w:val="28"/>
        </w:rPr>
        <w:t xml:space="preserve">, Einaudi editore, </w:t>
      </w:r>
      <w:r w:rsidRPr="00E01CA1">
        <w:rPr>
          <w:rFonts w:ascii="Cambria" w:hAnsi="Cambria"/>
          <w:color w:val="232323"/>
          <w:sz w:val="28"/>
          <w:szCs w:val="28"/>
        </w:rPr>
        <w:t>Torino, 2009 (edizione originale 1962)</w:t>
      </w:r>
    </w:p>
    <w:p w14:paraId="38F375C1" w14:textId="77777777" w:rsidR="0078017F" w:rsidRDefault="0078017F" w:rsidP="0078017F">
      <w:pPr>
        <w:pStyle w:val="NormaleWeb"/>
        <w:numPr>
          <w:ilvl w:val="0"/>
          <w:numId w:val="2"/>
        </w:numPr>
        <w:rPr>
          <w:rFonts w:ascii="Cambria" w:hAnsi="Cambria"/>
          <w:color w:val="232323"/>
          <w:sz w:val="28"/>
          <w:szCs w:val="28"/>
        </w:rPr>
      </w:pPr>
      <w:proofErr w:type="spellStart"/>
      <w:r w:rsidRPr="00E01CA1">
        <w:rPr>
          <w:rFonts w:ascii="Cambria" w:hAnsi="Cambria"/>
          <w:color w:val="232323"/>
          <w:sz w:val="28"/>
          <w:szCs w:val="28"/>
        </w:rPr>
        <w:t>Benasayag</w:t>
      </w:r>
      <w:proofErr w:type="spellEnd"/>
      <w:r w:rsidRPr="00E01CA1">
        <w:rPr>
          <w:rFonts w:ascii="Cambria" w:hAnsi="Cambria"/>
          <w:color w:val="232323"/>
          <w:sz w:val="28"/>
          <w:szCs w:val="28"/>
        </w:rPr>
        <w:t xml:space="preserve"> M. (con Cohen T.), Ci</w:t>
      </w:r>
      <w:r>
        <w:rPr>
          <w:rFonts w:ascii="Cambria" w:hAnsi="Cambria"/>
          <w:color w:val="232323"/>
          <w:sz w:val="28"/>
          <w:szCs w:val="28"/>
        </w:rPr>
        <w:t>nque lezioni di complessità, Feltrinelli, Milano, 2020</w:t>
      </w:r>
    </w:p>
    <w:p w14:paraId="6EF9380A" w14:textId="77777777" w:rsidR="0078017F" w:rsidRPr="00E01CA1" w:rsidRDefault="0078017F" w:rsidP="0078017F">
      <w:pPr>
        <w:pStyle w:val="NormaleWeb"/>
        <w:numPr>
          <w:ilvl w:val="0"/>
          <w:numId w:val="2"/>
        </w:numPr>
        <w:rPr>
          <w:rFonts w:ascii="Cambria" w:hAnsi="Cambria"/>
          <w:color w:val="232323"/>
          <w:sz w:val="28"/>
          <w:szCs w:val="28"/>
        </w:rPr>
      </w:pPr>
      <w:proofErr w:type="spellStart"/>
      <w:r>
        <w:rPr>
          <w:rFonts w:ascii="Cambria" w:hAnsi="Cambria"/>
          <w:color w:val="232323"/>
          <w:sz w:val="28"/>
          <w:szCs w:val="28"/>
        </w:rPr>
        <w:t>Morin</w:t>
      </w:r>
      <w:proofErr w:type="spellEnd"/>
      <w:r>
        <w:rPr>
          <w:rFonts w:ascii="Cambria" w:hAnsi="Cambria"/>
          <w:color w:val="232323"/>
          <w:sz w:val="28"/>
          <w:szCs w:val="28"/>
        </w:rPr>
        <w:t xml:space="preserve"> E., Conoscenza Ignoranza Mistero, Raffaello Cortina, Milano 2018</w:t>
      </w:r>
      <w:r w:rsidRPr="00E01CA1">
        <w:rPr>
          <w:rFonts w:ascii="Cambria" w:hAnsi="Cambria"/>
          <w:color w:val="232323"/>
          <w:sz w:val="28"/>
          <w:szCs w:val="28"/>
        </w:rPr>
        <w:br/>
      </w:r>
    </w:p>
    <w:p w14:paraId="69E7CA0C" w14:textId="77777777" w:rsidR="0078017F" w:rsidRDefault="0078017F" w:rsidP="0078017F">
      <w:pPr>
        <w:pStyle w:val="NormaleWeb"/>
        <w:ind w:left="720"/>
        <w:rPr>
          <w:rFonts w:ascii="SymbolMT" w:hAnsi="SymbolMT"/>
          <w:color w:val="232323"/>
          <w:sz w:val="28"/>
          <w:szCs w:val="28"/>
        </w:rPr>
      </w:pPr>
      <w:proofErr w:type="spellStart"/>
      <w:r>
        <w:rPr>
          <w:rFonts w:ascii="Cambria" w:hAnsi="Cambria"/>
          <w:b/>
          <w:bCs/>
          <w:color w:val="4C7FBC"/>
          <w:sz w:val="26"/>
          <w:szCs w:val="26"/>
        </w:rPr>
        <w:t>Attivita</w:t>
      </w:r>
      <w:proofErr w:type="spellEnd"/>
      <w:r>
        <w:rPr>
          <w:rFonts w:ascii="Cambria" w:hAnsi="Cambria"/>
          <w:b/>
          <w:bCs/>
          <w:color w:val="4C7FBC"/>
          <w:sz w:val="26"/>
          <w:szCs w:val="26"/>
        </w:rPr>
        <w:t xml:space="preserve">̀ di supporto </w:t>
      </w:r>
    </w:p>
    <w:p w14:paraId="7C3F1648" w14:textId="77777777" w:rsidR="0078017F" w:rsidRDefault="0078017F" w:rsidP="0078017F">
      <w:pPr>
        <w:pStyle w:val="NormaleWeb"/>
        <w:ind w:left="720"/>
        <w:rPr>
          <w:rFonts w:ascii="SymbolMT" w:hAnsi="SymbolMT"/>
          <w:color w:val="232323"/>
          <w:sz w:val="28"/>
          <w:szCs w:val="28"/>
        </w:rPr>
      </w:pPr>
      <w:r>
        <w:rPr>
          <w:rFonts w:ascii="Cambria" w:hAnsi="Cambria"/>
          <w:color w:val="232323"/>
          <w:sz w:val="28"/>
          <w:szCs w:val="28"/>
        </w:rPr>
        <w:t xml:space="preserve">Seminari dedicati all’approfondimento di tematiche specifiche. </w:t>
      </w:r>
    </w:p>
    <w:p w14:paraId="1B46C5E3" w14:textId="77777777" w:rsidR="0078017F" w:rsidRDefault="0078017F" w:rsidP="0078017F">
      <w:pPr>
        <w:pStyle w:val="NormaleWeb"/>
        <w:ind w:left="720"/>
        <w:rPr>
          <w:rFonts w:ascii="SymbolMT" w:hAnsi="SymbolMT"/>
          <w:color w:val="232323"/>
          <w:sz w:val="28"/>
          <w:szCs w:val="28"/>
        </w:rPr>
      </w:pPr>
      <w:proofErr w:type="spellStart"/>
      <w:r>
        <w:rPr>
          <w:rFonts w:ascii="Cambria" w:hAnsi="Cambria"/>
          <w:b/>
          <w:bCs/>
          <w:color w:val="4C7FBC"/>
          <w:sz w:val="26"/>
          <w:szCs w:val="26"/>
        </w:rPr>
        <w:t>Modalita</w:t>
      </w:r>
      <w:proofErr w:type="spellEnd"/>
      <w:r>
        <w:rPr>
          <w:rFonts w:ascii="Cambria" w:hAnsi="Cambria"/>
          <w:b/>
          <w:bCs/>
          <w:color w:val="4C7FBC"/>
          <w:sz w:val="26"/>
          <w:szCs w:val="26"/>
        </w:rPr>
        <w:t xml:space="preserve">̀ di frequenza </w:t>
      </w:r>
    </w:p>
    <w:p w14:paraId="05226784" w14:textId="77777777" w:rsidR="0078017F" w:rsidRDefault="0078017F" w:rsidP="0078017F">
      <w:pPr>
        <w:pStyle w:val="NormaleWeb"/>
        <w:ind w:left="720"/>
        <w:rPr>
          <w:rFonts w:ascii="SymbolMT" w:hAnsi="SymbolMT"/>
          <w:color w:val="232323"/>
          <w:sz w:val="28"/>
          <w:szCs w:val="28"/>
        </w:rPr>
      </w:pPr>
      <w:r>
        <w:rPr>
          <w:rFonts w:ascii="Cambria" w:hAnsi="Cambria"/>
          <w:color w:val="232323"/>
          <w:sz w:val="28"/>
          <w:szCs w:val="28"/>
        </w:rPr>
        <w:lastRenderedPageBreak/>
        <w:t xml:space="preserve">Le </w:t>
      </w:r>
      <w:proofErr w:type="spellStart"/>
      <w:r>
        <w:rPr>
          <w:rFonts w:ascii="Cambria" w:hAnsi="Cambria"/>
          <w:color w:val="232323"/>
          <w:sz w:val="28"/>
          <w:szCs w:val="28"/>
        </w:rPr>
        <w:t>modalita</w:t>
      </w:r>
      <w:proofErr w:type="spellEnd"/>
      <w:r>
        <w:rPr>
          <w:rFonts w:ascii="Cambria" w:hAnsi="Cambria"/>
          <w:color w:val="232323"/>
          <w:sz w:val="28"/>
          <w:szCs w:val="28"/>
        </w:rPr>
        <w:t xml:space="preserve">̀ sono indicate dall’art.8 del Regolamento didattico d’Ateneo. </w:t>
      </w:r>
    </w:p>
    <w:p w14:paraId="13E9E276" w14:textId="77777777" w:rsidR="0078017F" w:rsidRDefault="0078017F" w:rsidP="0078017F">
      <w:pPr>
        <w:pStyle w:val="NormaleWeb"/>
        <w:ind w:left="720"/>
        <w:rPr>
          <w:rFonts w:ascii="SymbolMT" w:hAnsi="SymbolMT"/>
          <w:color w:val="232323"/>
          <w:sz w:val="28"/>
          <w:szCs w:val="28"/>
        </w:rPr>
      </w:pPr>
      <w:proofErr w:type="spellStart"/>
      <w:r>
        <w:rPr>
          <w:rFonts w:ascii="Cambria" w:hAnsi="Cambria"/>
          <w:b/>
          <w:bCs/>
          <w:color w:val="4C7FBC"/>
          <w:sz w:val="26"/>
          <w:szCs w:val="26"/>
        </w:rPr>
        <w:t>Modalita</w:t>
      </w:r>
      <w:proofErr w:type="spellEnd"/>
      <w:r>
        <w:rPr>
          <w:rFonts w:ascii="Cambria" w:hAnsi="Cambria"/>
          <w:b/>
          <w:bCs/>
          <w:color w:val="4C7FBC"/>
          <w:sz w:val="26"/>
          <w:szCs w:val="26"/>
        </w:rPr>
        <w:t xml:space="preserve">̀ di accertamento </w:t>
      </w:r>
    </w:p>
    <w:p w14:paraId="0EA1827E" w14:textId="77777777" w:rsidR="0078017F" w:rsidRDefault="0078017F" w:rsidP="0078017F">
      <w:pPr>
        <w:pStyle w:val="NormaleWeb"/>
        <w:ind w:left="720"/>
        <w:rPr>
          <w:rFonts w:ascii="SymbolMT" w:hAnsi="SymbolMT"/>
          <w:color w:val="232323"/>
          <w:sz w:val="28"/>
          <w:szCs w:val="28"/>
        </w:rPr>
      </w:pPr>
      <w:r>
        <w:rPr>
          <w:rFonts w:ascii="TimesNewRomanPSMT" w:hAnsi="TimesNewRomanPSMT"/>
          <w:color w:val="232323"/>
          <w:sz w:val="28"/>
          <w:szCs w:val="28"/>
        </w:rPr>
        <w:t xml:space="preserve">Le modalità̀ generali sono indicate nel regolamento didattico di Ateneo all’art.22 consultabile al link </w:t>
      </w:r>
      <w:r>
        <w:rPr>
          <w:rFonts w:ascii="TimesNewRomanPSMT" w:hAnsi="TimesNewRomanPSMT"/>
          <w:color w:val="0000FF"/>
          <w:sz w:val="28"/>
          <w:szCs w:val="28"/>
        </w:rPr>
        <w:t xml:space="preserve">http://www.unicz.it/pdf/regolamento_didattico_ateneo_dr681.pdf </w:t>
      </w:r>
    </w:p>
    <w:p w14:paraId="6517C309" w14:textId="77777777" w:rsidR="0078017F" w:rsidRDefault="0078017F" w:rsidP="0078017F">
      <w:pPr>
        <w:pStyle w:val="NormaleWeb"/>
        <w:ind w:left="720"/>
        <w:rPr>
          <w:rFonts w:ascii="SymbolMT" w:hAnsi="SymbolMT"/>
          <w:color w:val="232323"/>
          <w:sz w:val="28"/>
          <w:szCs w:val="28"/>
        </w:rPr>
      </w:pPr>
      <w:r>
        <w:rPr>
          <w:rFonts w:ascii="Cambria" w:hAnsi="Cambria"/>
          <w:color w:val="232323"/>
          <w:sz w:val="28"/>
          <w:szCs w:val="28"/>
        </w:rPr>
        <w:t xml:space="preserve">L’esame finale sarà̀ svolto con un colloquio orale. </w:t>
      </w:r>
    </w:p>
    <w:p w14:paraId="5BA21100" w14:textId="77777777" w:rsidR="0078017F" w:rsidRDefault="0078017F" w:rsidP="0078017F"/>
    <w:p w14:paraId="18B6678E" w14:textId="77777777" w:rsidR="001E0C81" w:rsidRDefault="001E0C81"/>
    <w:sectPr w:rsidR="001E0C8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MT">
    <w:altName w:val="Cambria"/>
    <w:panose1 w:val="020B0604020202020204"/>
    <w:charset w:val="00"/>
    <w:family w:val="roman"/>
    <w:notTrueType/>
    <w:pitch w:val="default"/>
  </w:font>
  <w:font w:name="TimesNewRomanPSMT">
    <w:altName w:val="PMingLiU"/>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77B0C"/>
    <w:multiLevelType w:val="multilevel"/>
    <w:tmpl w:val="AA38D8A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3A1D266C"/>
    <w:multiLevelType w:val="multilevel"/>
    <w:tmpl w:val="561E1D5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5A7F7D71"/>
    <w:multiLevelType w:val="hybridMultilevel"/>
    <w:tmpl w:val="581A46DC"/>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16cid:durableId="1936859574">
    <w:abstractNumId w:val="0"/>
  </w:num>
  <w:num w:numId="2" w16cid:durableId="213808383">
    <w:abstractNumId w:val="1"/>
  </w:num>
  <w:num w:numId="3" w16cid:durableId="5343862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17F"/>
    <w:rsid w:val="001E0C81"/>
    <w:rsid w:val="0078017F"/>
    <w:rsid w:val="00BB7C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6C0AE40F"/>
  <w15:chartTrackingRefBased/>
  <w15:docId w15:val="{DB59706F-F9E0-3F40-BC5F-61F9D33FC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8017F"/>
    <w:rPr>
      <w:kern w:val="0"/>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78017F"/>
    <w:pPr>
      <w:spacing w:before="100" w:beforeAutospacing="1" w:after="100" w:afterAutospacing="1"/>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507</Words>
  <Characters>2876</Characters>
  <Application>Microsoft Office Word</Application>
  <DocSecurity>0</DocSecurity>
  <Lines>38</Lines>
  <Paragraphs>2</Paragraphs>
  <ScaleCrop>false</ScaleCrop>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Cleto Corposanto</dc:creator>
  <cp:keywords/>
  <dc:description/>
  <cp:lastModifiedBy>Cleto Corposanto</cp:lastModifiedBy>
  <cp:revision>2</cp:revision>
  <dcterms:created xsi:type="dcterms:W3CDTF">2023-07-05T06:04:00Z</dcterms:created>
  <dcterms:modified xsi:type="dcterms:W3CDTF">2023-07-05T06:04:00Z</dcterms:modified>
</cp:coreProperties>
</file>