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2104" w:right="1926" w:firstLine="492"/>
        <w:jc w:val="left"/>
        <w:rPr>
          <w:rFonts w:ascii="Bookman Old Style"/>
          <w:b/>
          <w:sz w:val="28"/>
        </w:rPr>
      </w:pPr>
      <w:r>
        <w:rPr>
          <w:rFonts w:ascii="Bookman Old Style"/>
          <w:b/>
          <w:sz w:val="28"/>
        </w:rPr>
        <w:t>Laurea Magistrale in Giurisprudenza Percorso: Organizzazioni, Imprese, Mercati</w:t>
      </w:r>
    </w:p>
    <w:p>
      <w:pPr>
        <w:pStyle w:val="BodyText"/>
        <w:tabs>
          <w:tab w:pos="4837" w:val="left" w:leader="none"/>
          <w:tab w:pos="7528" w:val="left" w:leader="none"/>
        </w:tabs>
        <w:spacing w:line="204" w:lineRule="auto" w:before="95"/>
        <w:ind w:left="2217" w:right="2556"/>
        <w:jc w:val="center"/>
        <w:rPr>
          <w:b/>
        </w:rPr>
      </w:pPr>
      <w:r>
        <w:rPr>
          <w:b/>
        </w:rPr>
        <w:t>Contratti</w:t>
        <w:tab/>
        <w:t>d’impresa</w:t>
        <w:tab/>
        <w:t>e </w:t>
      </w:r>
      <w:r>
        <w:rPr>
          <w:b/>
          <w:spacing w:val="-4"/>
        </w:rPr>
        <w:t>nuove </w:t>
      </w:r>
      <w:r>
        <w:rPr>
          <w:b/>
        </w:rPr>
        <w:t>tecnologie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4574" w:val="left" w:leader="none"/>
          <w:tab w:pos="5896" w:val="left" w:leader="none"/>
        </w:tabs>
        <w:spacing w:line="475" w:lineRule="auto"/>
        <w:ind w:left="2449" w:right="2787"/>
        <w:jc w:val="center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32pt;margin-top:50.964333pt;width:546pt;height:584.3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8"/>
                    <w:gridCol w:w="8458"/>
                  </w:tblGrid>
                  <w:tr>
                    <w:trPr>
                      <w:trHeight w:val="563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280" w:lineRule="exact" w:before="1"/>
                          <w:ind w:left="872" w:right="386" w:hanging="449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Informazioni Corso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ind w:left="115" w:right="1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Laurea Magistrale in Giurisprudenza (LMG/01) V anno, Percorso: Organizzazioni, Imprese, Mercati, II semestre, 45 ore. A.A. 2023/2024.</w:t>
                        </w:r>
                      </w:p>
                    </w:tc>
                  </w:tr>
                  <w:tr>
                    <w:trPr>
                      <w:trHeight w:val="1082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187" w:lineRule="auto"/>
                          <w:ind w:left="715" w:right="386" w:hanging="292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Informazioni Docente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ind w:left="115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Prof.ssa Maria Luisa Chiarella, Associato di diritto privato (Dipartimento di Scienze della Salute).</w:t>
                        </w:r>
                      </w:p>
                      <w:p>
                        <w:pPr>
                          <w:pStyle w:val="TableParagraph"/>
                          <w:spacing w:line="254" w:lineRule="exact" w:before="13"/>
                          <w:ind w:left="115" w:right="1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Ricevimento: ogni martedì ore 10.30, stanza 14 (previo appuntamento email). Contatti: </w:t>
                        </w:r>
                        <w:hyperlink r:id="rId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mlchiarella@unicz.it</w:t>
                          </w:r>
                          <w:r>
                            <w:rPr>
                              <w:sz w:val="24"/>
                            </w:rPr>
                            <w:t>, </w:t>
                          </w:r>
                        </w:hyperlink>
                        <w:r>
                          <w:rPr>
                            <w:sz w:val="24"/>
                          </w:rPr>
                          <w:t>0961.3694920.</w:t>
                        </w: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187" w:lineRule="auto"/>
                          <w:ind w:left="872" w:right="233" w:hanging="603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Descrizione del Corso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ind w:left="114" w:righ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corso ha ad oggetto la trattazione delle principali figure della contrattazione d’impresa contenute nel codice civile e nelle leggi complementari, alla luce delle novità emerse sul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piano legislativo e giurisprudenziale negli ultimi anni e del dibattito dottrinale.</w:t>
                        </w:r>
                      </w:p>
                    </w:tc>
                  </w:tr>
                  <w:tr>
                    <w:trPr>
                      <w:trHeight w:val="2817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79" w:right="157" w:hanging="1"/>
                          <w:jc w:val="center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Obiettivi del Corso e Risultati di         Apprendimento attesi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before="64"/>
                          <w:ind w:left="115" w:right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corso intende fornire agli studenti le nozioni fondamentali della contrattazione d’impresa, con particolare attenzione al ruolo della </w:t>
                        </w:r>
                        <w:r>
                          <w:rPr>
                            <w:i/>
                            <w:sz w:val="24"/>
                          </w:rPr>
                          <w:t>lex specialis</w:t>
                        </w:r>
                        <w:r>
                          <w:rPr>
                            <w:sz w:val="24"/>
                          </w:rPr>
                          <w:t>, delle norme costituzionali e del diritto europeo, all'importanza della giurisprudenza e ai collegamenti con le altre discipline giuridiche.</w:t>
                        </w:r>
                      </w:p>
                      <w:p>
                        <w:pPr>
                          <w:pStyle w:val="TableParagraph"/>
                          <w:ind w:left="115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Alla fine dell'insegnamento lo studente dovrà essere in grado di descrivere la fisionomia della contrattazione d’impresa e la relativa disciplina, dovrà avere acquistato un metodo per l’analisi e la soluzione di questioni di facile e media difficoltà, dovrà sapere utilizzare il linguaggio giuridico, dovrà avere acquisito padronanza delle principali leggi speciali che regolano la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materia.</w:t>
                        </w:r>
                      </w:p>
                    </w:tc>
                  </w:tr>
                  <w:tr>
                    <w:trPr>
                      <w:trHeight w:val="2664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78" w:right="154" w:hanging="4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Programma (contenuti, modalità di svolgimento) Eventuale distinzione programma frequentanti - non </w:t>
                        </w:r>
                        <w:r>
                          <w:rPr>
                            <w:rFonts w:ascii="Bookman Old Style" w:hAnsi="Bookman Old Style"/>
                            <w:b/>
                            <w:spacing w:val="-2"/>
                            <w:sz w:val="24"/>
                          </w:rPr>
                          <w:t>frequentanti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ind w:left="142" w:right="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corso si occupa dell’analisi delle tipologie contrattuali funzionali all’esercizio dell’attività imprenditoriale con riferimento sia ai contratti con i consumatori che a quelli tra imprese. Particolare attenzione viene prestata: (i) all’esame delle asimmetrie contrattuali ed all’individuazione degli strumenti transtipici di tutela del contraente debole in caso di </w:t>
                        </w:r>
                        <w:r>
                          <w:rPr>
                            <w:i/>
                            <w:sz w:val="24"/>
                          </w:rPr>
                          <w:t>inequality of bargaining power </w:t>
                        </w:r>
                        <w:r>
                          <w:rPr>
                            <w:sz w:val="24"/>
                          </w:rPr>
                          <w:t>e (ii) alle problematiche relative al diritto dei contratti nei mercati digitali.</w:t>
                        </w:r>
                      </w:p>
                      <w:p>
                        <w:pPr>
                          <w:pStyle w:val="TableParagraph"/>
                          <w:rPr>
                            <w:rFonts w:ascii="Bookman Old Style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5" w:right="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Variazioni al programma e ai testi di studio saranno concordate con gli studenti frequentanti.</w:t>
                        </w:r>
                      </w:p>
                    </w:tc>
                  </w:tr>
                  <w:tr>
                    <w:trPr>
                      <w:trHeight w:val="1408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239" w:right="217" w:hanging="2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Stima dell’Impegno Orario richiesto</w:t>
                        </w:r>
                      </w:p>
                      <w:p>
                        <w:pPr>
                          <w:pStyle w:val="TableParagraph"/>
                          <w:spacing w:line="266" w:lineRule="exact" w:before="13"/>
                          <w:ind w:left="112" w:right="91"/>
                          <w:jc w:val="center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per lo Studio individuale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ind w:left="115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programma indicato richiede uno studio individuale dello studente pari a circa 150 ore.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108" w:right="92"/>
                          <w:jc w:val="center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Metodi</w:t>
                        </w:r>
                        <w:r>
                          <w:rPr>
                            <w:rFonts w:ascii="Bookman Old Style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spacing w:line="225" w:lineRule="auto" w:before="14"/>
                          <w:ind w:left="112" w:right="92"/>
                          <w:jc w:val="center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Insegnamento utilizzati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before="9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corso si svolgerà mediante lezioni frontali ed esercitazioni.</w:t>
                        </w:r>
                      </w:p>
                    </w:tc>
                  </w:tr>
                  <w:tr>
                    <w:trPr>
                      <w:trHeight w:val="1408" w:hRule="atLeast"/>
                    </w:trPr>
                    <w:tc>
                      <w:tcPr>
                        <w:tcW w:w="2448" w:type="dxa"/>
                      </w:tcPr>
                      <w:p>
                        <w:pPr>
                          <w:pStyle w:val="TableParagraph"/>
                          <w:ind w:left="183" w:right="158" w:hanging="3"/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Risorse per l’Apprendimento (libri di testo</w:t>
                        </w:r>
                      </w:p>
                      <w:p>
                        <w:pPr>
                          <w:pStyle w:val="TableParagraph"/>
                          <w:spacing w:line="225" w:lineRule="auto" w:before="12"/>
                          <w:ind w:left="112" w:right="89"/>
                          <w:jc w:val="center"/>
                          <w:rPr>
                            <w:rFonts w:ascii="Bookman Old Style"/>
                            <w:b/>
                            <w:sz w:val="24"/>
                          </w:rPr>
                        </w:pPr>
                        <w:r>
                          <w:rPr>
                            <w:rFonts w:ascii="Bookman Old Style"/>
                            <w:b/>
                            <w:sz w:val="24"/>
                          </w:rPr>
                          <w:t>consigliati, eventuali</w:t>
                        </w:r>
                      </w:p>
                    </w:tc>
                    <w:tc>
                      <w:tcPr>
                        <w:tcW w:w="8458" w:type="dxa"/>
                      </w:tcPr>
                      <w:p>
                        <w:pPr>
                          <w:pStyle w:val="TableParagraph"/>
                          <w:spacing w:before="9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Testi consigliati</w:t>
                        </w:r>
                      </w:p>
                      <w:p>
                        <w:pPr>
                          <w:pStyle w:val="TableParagraph"/>
                          <w:rPr>
                            <w:rFonts w:ascii="Bookman Old Style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5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CHIARELLA M.L., </w:t>
                        </w:r>
                        <w:r>
                          <w:rPr>
                            <w:i/>
                            <w:sz w:val="24"/>
                          </w:rPr>
                          <w:t>Contrattazione asimmetrica. Segmenti normativi e costruzione unitaria</w:t>
                        </w:r>
                        <w:r>
                          <w:rPr>
                            <w:sz w:val="24"/>
                          </w:rPr>
                          <w:t>, Giuffrè, 2016, pp. 45-222.</w:t>
                        </w:r>
                      </w:p>
                      <w:p>
                        <w:pPr>
                          <w:pStyle w:val="TableParagraph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QUARTA A., SMORTO, G., </w:t>
                        </w:r>
                        <w:r>
                          <w:rPr>
                            <w:i/>
                            <w:sz w:val="24"/>
                          </w:rPr>
                          <w:t>Diritto privato dei mercati digitali</w:t>
                        </w:r>
                        <w:r>
                          <w:rPr>
                            <w:sz w:val="24"/>
                          </w:rPr>
                          <w:t>, Mondadori, 2020, pp. 179-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</w:rPr>
        <w:t>2023/2024,</w:t>
        <w:tab/>
        <w:t>V</w:t>
      </w:r>
      <w:r>
        <w:rPr>
          <w:b/>
          <w:spacing w:val="-1"/>
        </w:rPr>
        <w:t> </w:t>
      </w:r>
      <w:r>
        <w:rPr>
          <w:b/>
        </w:rPr>
        <w:t>anno,</w:t>
        <w:tab/>
        <w:t>II Semestre, 6 </w:t>
      </w:r>
      <w:r>
        <w:rPr>
          <w:b/>
          <w:spacing w:val="-5"/>
        </w:rPr>
        <w:t>Cfu </w:t>
      </w:r>
      <w:r>
        <w:rPr>
          <w:b/>
        </w:rPr>
        <w:t>Prof.ssa Maria Luisa</w:t>
      </w:r>
      <w:r>
        <w:rPr>
          <w:b/>
          <w:spacing w:val="-3"/>
        </w:rPr>
        <w:t> </w:t>
      </w:r>
      <w:r>
        <w:rPr>
          <w:b/>
        </w:rPr>
        <w:t>Chiarella</w:t>
      </w:r>
    </w:p>
    <w:p>
      <w:pPr>
        <w:spacing w:after="0" w:line="475" w:lineRule="auto"/>
        <w:jc w:val="center"/>
        <w:sectPr>
          <w:type w:val="continuous"/>
          <w:pgSz w:w="11910" w:h="16840"/>
          <w:pgMar w:top="1320" w:bottom="280" w:left="280" w:right="4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502"/>
        <w:gridCol w:w="1461"/>
        <w:gridCol w:w="2091"/>
        <w:gridCol w:w="2141"/>
        <w:gridCol w:w="2155"/>
        <w:gridCol w:w="110"/>
      </w:tblGrid>
      <w:tr>
        <w:trPr>
          <w:trHeight w:val="2170" w:hRule="atLeast"/>
        </w:trPr>
        <w:tc>
          <w:tcPr>
            <w:tcW w:w="2448" w:type="dxa"/>
          </w:tcPr>
          <w:p>
            <w:pPr>
              <w:pStyle w:val="TableParagraph"/>
              <w:ind w:left="112" w:right="92"/>
              <w:jc w:val="center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ulteriori letture consigliate per approfondimento, altro materiale didattico)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spacing w:before="9"/>
              <w:ind w:left="175"/>
              <w:rPr>
                <w:sz w:val="24"/>
              </w:rPr>
            </w:pPr>
            <w:r>
              <w:rPr>
                <w:sz w:val="24"/>
              </w:rPr>
              <w:t>225.</w:t>
            </w:r>
          </w:p>
          <w:p>
            <w:pPr>
              <w:pStyle w:val="TableParagraph"/>
              <w:spacing w:before="10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Letture consigliate:</w:t>
            </w:r>
          </w:p>
          <w:p>
            <w:pPr>
              <w:pStyle w:val="TableParagraph"/>
              <w:ind w:left="115" w:right="432"/>
              <w:rPr>
                <w:sz w:val="24"/>
              </w:rPr>
            </w:pPr>
            <w:r>
              <w:rPr>
                <w:sz w:val="24"/>
              </w:rPr>
              <w:t>QUARTA A., SMORTO, G., </w:t>
            </w:r>
            <w:r>
              <w:rPr>
                <w:i/>
                <w:sz w:val="24"/>
              </w:rPr>
              <w:t>Diritto privato dei mercati digitali</w:t>
            </w:r>
            <w:r>
              <w:rPr>
                <w:sz w:val="24"/>
              </w:rPr>
              <w:t>, Mondadori, 2020, pp. 1- 177;</w:t>
            </w:r>
          </w:p>
          <w:p>
            <w:pPr>
              <w:pStyle w:val="TableParagraph"/>
              <w:ind w:left="115" w:right="234"/>
              <w:rPr>
                <w:sz w:val="24"/>
              </w:rPr>
            </w:pPr>
            <w:r>
              <w:rPr>
                <w:sz w:val="24"/>
              </w:rPr>
              <w:t>GITTI G., MAUGERI M., NOTARI M., </w:t>
            </w:r>
            <w:r>
              <w:rPr>
                <w:i/>
                <w:sz w:val="24"/>
              </w:rPr>
              <w:t>I contratti per l’impresa. I. Produzione, circolazione, </w:t>
            </w:r>
            <w:r>
              <w:rPr>
                <w:i/>
                <w:sz w:val="24"/>
              </w:rPr>
              <w:t>gestione, garanzia, </w:t>
            </w:r>
            <w:r>
              <w:rPr>
                <w:sz w:val="24"/>
              </w:rPr>
              <w:t>il Mulino, 2012, capitoli: 1, 2, 4.</w:t>
            </w:r>
          </w:p>
        </w:tc>
      </w:tr>
      <w:tr>
        <w:trPr>
          <w:trHeight w:val="563" w:hRule="atLeast"/>
        </w:trPr>
        <w:tc>
          <w:tcPr>
            <w:tcW w:w="2448" w:type="dxa"/>
          </w:tcPr>
          <w:p>
            <w:pPr>
              <w:pStyle w:val="TableParagraph"/>
              <w:spacing w:line="280" w:lineRule="exact" w:before="1"/>
              <w:ind w:left="656" w:right="550" w:hanging="7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Attività di Supporto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L’attività di supporto è svolta dal docente durante gli orari di ricevimento.</w:t>
            </w:r>
          </w:p>
        </w:tc>
      </w:tr>
      <w:tr>
        <w:trPr>
          <w:trHeight w:val="1082" w:hRule="atLeast"/>
        </w:trPr>
        <w:tc>
          <w:tcPr>
            <w:tcW w:w="2448" w:type="dxa"/>
          </w:tcPr>
          <w:p>
            <w:pPr>
              <w:pStyle w:val="TableParagraph"/>
              <w:ind w:left="579" w:right="386" w:hanging="57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Modalità di Frequenza</w:t>
            </w:r>
          </w:p>
        </w:tc>
        <w:tc>
          <w:tcPr>
            <w:tcW w:w="8460" w:type="dxa"/>
            <w:gridSpan w:val="6"/>
          </w:tcPr>
          <w:p>
            <w:pPr>
              <w:pStyle w:val="TableParagraph"/>
              <w:ind w:left="115" w:right="886"/>
              <w:jc w:val="both"/>
              <w:rPr>
                <w:sz w:val="24"/>
              </w:rPr>
            </w:pPr>
            <w:r>
              <w:rPr>
                <w:sz w:val="24"/>
              </w:rPr>
              <w:t>La frequenza al corso non è obbligatoria. E’ riservata ai soli studenti frequentanti la facoltà di accedere ad uno speciale programma ed alle prove intercorso.</w:t>
            </w:r>
          </w:p>
        </w:tc>
      </w:tr>
      <w:tr>
        <w:trPr>
          <w:trHeight w:val="279" w:hRule="atLeast"/>
        </w:trPr>
        <w:tc>
          <w:tcPr>
            <w:tcW w:w="244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06" w:right="92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Modalità di</w:t>
            </w:r>
          </w:p>
        </w:tc>
        <w:tc>
          <w:tcPr>
            <w:tcW w:w="8460" w:type="dxa"/>
            <w:gridSpan w:val="6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7" w:right="92"/>
              <w:jc w:val="center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Accertamento</w:t>
            </w:r>
          </w:p>
        </w:tc>
        <w:tc>
          <w:tcPr>
            <w:tcW w:w="50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vMerge w:val="restart"/>
          </w:tcPr>
          <w:p>
            <w:pPr>
              <w:pStyle w:val="TableParagraph"/>
              <w:spacing w:line="278" w:lineRule="exact"/>
              <w:ind w:left="111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Votazione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Conoscenza e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Capacità 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Utilizzo di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09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comprensione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dell’argomento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analisi e di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Non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4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Importanti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Irrilevanti.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Completamente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idoneo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4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carenze.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Frequenti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inappropriato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4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Significative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generalizzazioni.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7" w:lineRule="exact"/>
              <w:ind w:left="24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inaccuratezze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66" w:lineRule="exact" w:before="8"/>
              <w:ind w:left="107" w:right="48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Incapacità di 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18-20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 livello soglia.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Capacità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Appena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Imperfezioni</w:t>
            </w:r>
          </w:p>
          <w:p>
            <w:pPr>
              <w:pStyle w:val="TableParagraph"/>
              <w:spacing w:line="267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evidenti</w:t>
            </w: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appena</w:t>
            </w:r>
          </w:p>
          <w:p>
            <w:pPr>
              <w:pStyle w:val="TableParagraph"/>
              <w:spacing w:line="267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sufficienti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appropriato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21-23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E’ in grado 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Utilizza le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routinaria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analisi e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sintesi corrette.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standard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Argomenta in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modo logico 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coerente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24-26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Ha capacità di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Utilizza le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buona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analisi e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referenze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sintesi buone.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standard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Gli argomenti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sono espressi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coerentemente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27-29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Conoscenza più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Ha notevoli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Ha approfondito</w:t>
            </w:r>
          </w:p>
        </w:tc>
        <w:tc>
          <w:tcPr>
            <w:tcW w:w="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che buona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capacità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gli argomenti</w:t>
            </w: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analisi e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30-30L</w:t>
            </w:r>
          </w:p>
        </w:tc>
        <w:tc>
          <w:tcPr>
            <w:tcW w:w="209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Conoscenza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Ha ottime</w:t>
            </w:r>
          </w:p>
        </w:tc>
        <w:tc>
          <w:tcPr>
            <w:tcW w:w="2155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Importanti</w:t>
            </w:r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9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ottima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 w:hAnsi="Bookman Old Style"/>
                <w:b w:val="0"/>
                <w:sz w:val="24"/>
              </w:rPr>
            </w:pPr>
            <w:r>
              <w:rPr>
                <w:rFonts w:ascii="Bookman Old Style" w:hAnsi="Bookman Old Style"/>
                <w:b w:val="0"/>
                <w:sz w:val="24"/>
              </w:rPr>
              <w:t>capacità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approfondimenti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4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analisi e di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24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sz w:val="24"/>
              </w:rPr>
              <w:t>sintesi</w:t>
            </w:r>
          </w:p>
        </w:tc>
        <w:tc>
          <w:tcPr>
            <w:tcW w:w="215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top="1400" w:bottom="280" w:left="2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lchiarella@unicz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Chiarella</dc:creator>
  <dc:title>Microsoft Word - Syllabus C. d'impresa e nuove tecnologie 2021 2022</dc:title>
  <dcterms:created xsi:type="dcterms:W3CDTF">2023-08-31T13:09:13Z</dcterms:created>
  <dcterms:modified xsi:type="dcterms:W3CDTF">2023-08-31T13:09:13Z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2023-08-31T00:00:00Z</vt:filetime>
  </property>
</Properties>
</file>