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1"/>
        <w:ind w:left="3581" w:right="3328" w:firstLine="2"/>
        <w:jc w:val="center"/>
        <w:rPr>
          <w:b/>
        </w:rPr>
      </w:pPr>
      <w:r>
        <w:rPr/>
        <w:pict>
          <v:rect style="position:absolute;margin-left:46.740002pt;margin-top:292.260010pt;width:66.540pt;height:15.72pt;mso-position-horizontal-relative:page;mso-position-vertical-relative:page;z-index:-252187648" filled="true" fillcolor="#ffffff" stroked="false">
            <v:fill type="solid"/>
            <w10:wrap type="none"/>
          </v:rect>
        </w:pict>
      </w:r>
      <w:r>
        <w:rPr>
          <w:b/>
        </w:rPr>
        <w:t>Master’s Degree in Law Private law M/Z 2023/2024, I year, 12</w:t>
      </w:r>
      <w:r>
        <w:rPr>
          <w:b/>
          <w:spacing w:val="-5"/>
        </w:rPr>
        <w:t> </w:t>
      </w:r>
      <w:r>
        <w:rPr>
          <w:b/>
          <w:spacing w:val="-4"/>
        </w:rPr>
        <w:t>ECTS</w:t>
      </w:r>
    </w:p>
    <w:p>
      <w:pPr>
        <w:pStyle w:val="BodyText"/>
        <w:ind w:left="4120" w:right="3868"/>
        <w:jc w:val="center"/>
        <w:rPr>
          <w:b/>
        </w:rPr>
      </w:pPr>
      <w:r>
        <w:rPr/>
        <w:pict>
          <v:rect style="position:absolute;margin-left:45.060001pt;margin-top:104.628174pt;width:69.84pt;height:15.72pt;mso-position-horizontal-relative:page;mso-position-vertical-relative:paragraph;z-index:-252188672" filled="true" fillcolor="#ffffff" stroked="false">
            <v:fill type="solid"/>
            <w10:wrap type="none"/>
          </v:rect>
        </w:pict>
      </w:r>
      <w:r>
        <w:rPr>
          <w:b/>
        </w:rPr>
        <w:t>Prof. Fulvio Gigliotti</w:t>
      </w:r>
    </w:p>
    <w:p>
      <w:pPr>
        <w:pStyle w:val="BodyText"/>
        <w:rPr>
          <w:b/>
          <w:sz w:val="20"/>
        </w:rPr>
      </w:pPr>
    </w:p>
    <w:p>
      <w:pPr>
        <w:pStyle w:val="BodyText"/>
        <w:rPr>
          <w:b/>
          <w:sz w:val="20"/>
        </w:rPr>
      </w:pPr>
    </w:p>
    <w:p>
      <w:pPr>
        <w:pStyle w:val="BodyText"/>
        <w:spacing w:before="10"/>
        <w:rPr>
          <w:b/>
          <w:sz w:val="18"/>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4"/>
        <w:gridCol w:w="8458"/>
      </w:tblGrid>
      <w:tr>
        <w:trPr>
          <w:trHeight w:val="898" w:hRule="atLeast"/>
        </w:trPr>
        <w:tc>
          <w:tcPr>
            <w:tcW w:w="2324" w:type="dxa"/>
          </w:tcPr>
          <w:p>
            <w:pPr>
              <w:pStyle w:val="TableParagraph"/>
              <w:ind w:left="779" w:right="117" w:firstLine="282"/>
              <w:rPr>
                <w:b/>
                <w:sz w:val="28"/>
              </w:rPr>
            </w:pPr>
            <w:r>
              <w:rPr>
                <w:b/>
                <w:sz w:val="28"/>
              </w:rPr>
              <w:t>Course information</w:t>
            </w:r>
          </w:p>
        </w:tc>
        <w:tc>
          <w:tcPr>
            <w:tcW w:w="8458" w:type="dxa"/>
          </w:tcPr>
          <w:p>
            <w:pPr>
              <w:pStyle w:val="TableParagraph"/>
              <w:spacing w:line="283" w:lineRule="exact"/>
              <w:ind w:left="108"/>
              <w:rPr>
                <w:sz w:val="28"/>
              </w:rPr>
            </w:pPr>
            <w:r>
              <w:rPr>
                <w:sz w:val="28"/>
              </w:rPr>
              <w:t>Private aw I (M-Z)</w:t>
            </w:r>
          </w:p>
          <w:p>
            <w:pPr>
              <w:pStyle w:val="TableParagraph"/>
              <w:spacing w:line="305" w:lineRule="exact"/>
              <w:ind w:left="108"/>
              <w:rPr>
                <w:sz w:val="28"/>
              </w:rPr>
            </w:pPr>
            <w:r>
              <w:rPr>
                <w:sz w:val="28"/>
              </w:rPr>
              <w:t>Master’s Degree in Law, 12 ECTS, 90 hours</w:t>
            </w:r>
          </w:p>
          <w:p>
            <w:pPr>
              <w:pStyle w:val="TableParagraph"/>
              <w:spacing w:line="290" w:lineRule="exact"/>
              <w:ind w:left="108"/>
              <w:rPr>
                <w:sz w:val="28"/>
              </w:rPr>
            </w:pPr>
            <w:r>
              <w:rPr>
                <w:sz w:val="28"/>
              </w:rPr>
              <w:t>academic year 2023 2023</w:t>
            </w:r>
          </w:p>
        </w:tc>
      </w:tr>
      <w:tr>
        <w:trPr>
          <w:trHeight w:val="1574" w:hRule="atLeast"/>
        </w:trPr>
        <w:tc>
          <w:tcPr>
            <w:tcW w:w="2324" w:type="dxa"/>
          </w:tcPr>
          <w:p>
            <w:pPr>
              <w:pStyle w:val="TableParagraph"/>
              <w:spacing w:line="168" w:lineRule="auto" w:before="7"/>
              <w:ind w:left="463" w:right="117" w:firstLine="146"/>
              <w:rPr>
                <w:b/>
                <w:sz w:val="28"/>
              </w:rPr>
            </w:pPr>
            <w:r>
              <w:rPr>
                <w:b/>
                <w:sz w:val="28"/>
              </w:rPr>
              <w:t>Professor </w:t>
            </w:r>
            <w:r>
              <w:rPr>
                <w:b/>
                <w:w w:val="95"/>
                <w:sz w:val="28"/>
              </w:rPr>
              <w:t>information</w:t>
            </w:r>
          </w:p>
        </w:tc>
        <w:tc>
          <w:tcPr>
            <w:tcW w:w="8458" w:type="dxa"/>
          </w:tcPr>
          <w:p>
            <w:pPr>
              <w:pStyle w:val="TableParagraph"/>
              <w:ind w:left="108" w:right="1594"/>
              <w:rPr>
                <w:sz w:val="28"/>
              </w:rPr>
            </w:pPr>
            <w:r>
              <w:rPr>
                <w:sz w:val="28"/>
              </w:rPr>
              <w:t>Fulvio Gigliotti, Full professor of Private law (Diges) Contacts: </w:t>
            </w:r>
            <w:hyperlink r:id="rId5">
              <w:r>
                <w:rPr>
                  <w:color w:val="0000FF"/>
                  <w:sz w:val="28"/>
                  <w:u w:val="single" w:color="0000FF"/>
                </w:rPr>
                <w:t>fulviogigliotti@unicz.it</w:t>
              </w:r>
              <w:r>
                <w:rPr>
                  <w:sz w:val="28"/>
                </w:rPr>
                <w:t>, </w:t>
              </w:r>
            </w:hyperlink>
            <w:r>
              <w:rPr>
                <w:sz w:val="28"/>
              </w:rPr>
              <w:t>0961.3694973</w:t>
            </w:r>
          </w:p>
          <w:p>
            <w:pPr>
              <w:pStyle w:val="TableParagraph"/>
              <w:ind w:left="108" w:right="1594"/>
              <w:rPr>
                <w:sz w:val="28"/>
              </w:rPr>
            </w:pPr>
            <w:r>
              <w:rPr>
                <w:sz w:val="28"/>
              </w:rPr>
              <w:t>Reception: before and after lessons, room 22, “S. Venuta University Campus”, Legal-economic area building.</w:t>
            </w:r>
          </w:p>
        </w:tc>
      </w:tr>
      <w:tr>
        <w:trPr>
          <w:trHeight w:val="1260" w:hRule="atLeast"/>
        </w:trPr>
        <w:tc>
          <w:tcPr>
            <w:tcW w:w="2324" w:type="dxa"/>
          </w:tcPr>
          <w:p>
            <w:pPr>
              <w:pStyle w:val="TableParagraph"/>
              <w:spacing w:line="168" w:lineRule="auto" w:before="8"/>
              <w:ind w:left="496" w:right="467" w:firstLine="248"/>
              <w:rPr>
                <w:b/>
                <w:sz w:val="28"/>
              </w:rPr>
            </w:pPr>
            <w:r>
              <w:rPr>
                <w:b/>
                <w:sz w:val="28"/>
              </w:rPr>
              <w:t>Course description</w:t>
            </w:r>
          </w:p>
        </w:tc>
        <w:tc>
          <w:tcPr>
            <w:tcW w:w="8458" w:type="dxa"/>
          </w:tcPr>
          <w:p>
            <w:pPr>
              <w:pStyle w:val="TableParagraph"/>
              <w:ind w:left="108" w:right="90"/>
              <w:jc w:val="both"/>
              <w:rPr>
                <w:sz w:val="28"/>
              </w:rPr>
            </w:pPr>
            <w:r>
              <w:rPr>
                <w:sz w:val="28"/>
              </w:rPr>
              <w:t>The course deals with the main institutions of private law contained in the civil code and in complementary laws, in the light of the innovations that have emerged on the legislative and jurisprudential level in recent years and</w:t>
            </w:r>
          </w:p>
          <w:p>
            <w:pPr>
              <w:pStyle w:val="TableParagraph"/>
              <w:spacing w:line="295" w:lineRule="exact"/>
              <w:ind w:left="108"/>
              <w:jc w:val="both"/>
              <w:rPr>
                <w:sz w:val="28"/>
              </w:rPr>
            </w:pPr>
            <w:r>
              <w:rPr>
                <w:sz w:val="28"/>
              </w:rPr>
              <w:t>of the doctrinal debate.</w:t>
            </w:r>
          </w:p>
        </w:tc>
      </w:tr>
      <w:tr>
        <w:trPr>
          <w:trHeight w:val="9449" w:hRule="atLeast"/>
        </w:trPr>
        <w:tc>
          <w:tcPr>
            <w:tcW w:w="2324" w:type="dxa"/>
          </w:tcPr>
          <w:p>
            <w:pPr>
              <w:pStyle w:val="TableParagraph"/>
              <w:rPr>
                <w:rFonts w:ascii="Bookman Old Style"/>
                <w:b/>
                <w:sz w:val="30"/>
              </w:rPr>
            </w:pPr>
          </w:p>
          <w:p>
            <w:pPr>
              <w:pStyle w:val="TableParagraph"/>
              <w:rPr>
                <w:rFonts w:ascii="Bookman Old Style"/>
                <w:b/>
                <w:sz w:val="30"/>
              </w:rPr>
            </w:pPr>
          </w:p>
          <w:p>
            <w:pPr>
              <w:pStyle w:val="TableParagraph"/>
              <w:rPr>
                <w:rFonts w:ascii="Bookman Old Style"/>
                <w:b/>
                <w:sz w:val="30"/>
              </w:rPr>
            </w:pPr>
          </w:p>
          <w:p>
            <w:pPr>
              <w:pStyle w:val="TableParagraph"/>
              <w:rPr>
                <w:rFonts w:ascii="Bookman Old Style"/>
                <w:b/>
                <w:sz w:val="30"/>
              </w:rPr>
            </w:pPr>
          </w:p>
          <w:p>
            <w:pPr>
              <w:pStyle w:val="TableParagraph"/>
              <w:rPr>
                <w:rFonts w:ascii="Bookman Old Style"/>
                <w:b/>
                <w:sz w:val="30"/>
              </w:rPr>
            </w:pPr>
          </w:p>
          <w:p>
            <w:pPr>
              <w:pStyle w:val="TableParagraph"/>
              <w:rPr>
                <w:rFonts w:ascii="Bookman Old Style"/>
                <w:b/>
                <w:sz w:val="30"/>
              </w:rPr>
            </w:pPr>
          </w:p>
          <w:p>
            <w:pPr>
              <w:pStyle w:val="TableParagraph"/>
              <w:rPr>
                <w:rFonts w:ascii="Bookman Old Style"/>
                <w:b/>
                <w:sz w:val="30"/>
              </w:rPr>
            </w:pPr>
          </w:p>
          <w:p>
            <w:pPr>
              <w:pStyle w:val="TableParagraph"/>
              <w:rPr>
                <w:rFonts w:ascii="Bookman Old Style"/>
                <w:b/>
                <w:sz w:val="30"/>
              </w:rPr>
            </w:pPr>
          </w:p>
          <w:p>
            <w:pPr>
              <w:pStyle w:val="TableParagraph"/>
              <w:rPr>
                <w:rFonts w:ascii="Bookman Old Style"/>
                <w:b/>
                <w:sz w:val="30"/>
              </w:rPr>
            </w:pPr>
          </w:p>
          <w:p>
            <w:pPr>
              <w:pStyle w:val="TableParagraph"/>
              <w:spacing w:before="2"/>
              <w:rPr>
                <w:rFonts w:ascii="Bookman Old Style"/>
                <w:b/>
                <w:sz w:val="25"/>
              </w:rPr>
            </w:pPr>
          </w:p>
          <w:p>
            <w:pPr>
              <w:pStyle w:val="TableParagraph"/>
              <w:ind w:left="110" w:right="100"/>
              <w:jc w:val="center"/>
              <w:rPr>
                <w:b/>
                <w:sz w:val="28"/>
              </w:rPr>
            </w:pPr>
            <w:r>
              <w:rPr>
                <w:b/>
                <w:sz w:val="28"/>
              </w:rPr>
              <w:t>Course objectives and expected learning outcomes</w:t>
            </w:r>
          </w:p>
        </w:tc>
        <w:tc>
          <w:tcPr>
            <w:tcW w:w="8458" w:type="dxa"/>
          </w:tcPr>
          <w:p>
            <w:pPr>
              <w:pStyle w:val="TableParagraph"/>
              <w:ind w:left="108" w:right="91"/>
              <w:jc w:val="both"/>
              <w:rPr>
                <w:sz w:val="28"/>
              </w:rPr>
            </w:pPr>
            <w:r>
              <w:rPr>
                <w:sz w:val="28"/>
              </w:rPr>
              <w:t>The course aims to provide students with the fundamental notions of the Italian civil system, with particular attention to the role of constitutional rules and European law, the importance of jurisprudence and links with other legal disciplines.</w:t>
            </w:r>
          </w:p>
          <w:p>
            <w:pPr>
              <w:pStyle w:val="TableParagraph"/>
              <w:ind w:left="108" w:right="89"/>
              <w:jc w:val="both"/>
              <w:rPr>
                <w:sz w:val="28"/>
              </w:rPr>
            </w:pPr>
            <w:r>
              <w:rPr>
                <w:sz w:val="28"/>
              </w:rPr>
              <w:t>At the end of the course, the student must be able to describe the main institutions of civil law and the related discipline, must have acquired a method for the analysis and solution of civil law issues of easy and medium difficulty, must know how to use law language, must have acquired mastery in the use of the civil code and the main complementary laws.</w:t>
            </w:r>
          </w:p>
          <w:p>
            <w:pPr>
              <w:pStyle w:val="TableParagraph"/>
              <w:spacing w:line="314" w:lineRule="exact" w:before="1"/>
              <w:ind w:left="108"/>
              <w:jc w:val="both"/>
              <w:rPr>
                <w:sz w:val="28"/>
              </w:rPr>
            </w:pPr>
            <w:r>
              <w:rPr>
                <w:sz w:val="28"/>
                <w:u w:val="single"/>
              </w:rPr>
              <w:t>Knowledge and understanding</w:t>
            </w:r>
            <w:r>
              <w:rPr>
                <w:sz w:val="28"/>
              </w:rPr>
              <w:t>:</w:t>
            </w:r>
          </w:p>
          <w:p>
            <w:pPr>
              <w:pStyle w:val="TableParagraph"/>
              <w:ind w:left="108" w:right="93"/>
              <w:jc w:val="both"/>
              <w:rPr>
                <w:sz w:val="28"/>
              </w:rPr>
            </w:pPr>
            <w:r>
              <w:rPr>
                <w:sz w:val="28"/>
              </w:rPr>
              <w:t>The student acquires knowledge of the fundamental lines of the legal system, in its multilevel configuration and with reference to regulatory and jurisprudential changes.</w:t>
            </w:r>
          </w:p>
          <w:p>
            <w:pPr>
              <w:pStyle w:val="TableParagraph"/>
              <w:ind w:left="108" w:right="94" w:hanging="1"/>
              <w:jc w:val="both"/>
              <w:rPr>
                <w:sz w:val="28"/>
              </w:rPr>
            </w:pPr>
            <w:r>
              <w:rPr>
                <w:sz w:val="28"/>
                <w:u w:val="single"/>
              </w:rPr>
              <w:t>Applied knowledge and understanding</w:t>
            </w:r>
            <w:r>
              <w:rPr>
                <w:sz w:val="28"/>
              </w:rPr>
              <w:t> (i.e., the ability to apply knowledge and understanding):</w:t>
            </w:r>
          </w:p>
          <w:p>
            <w:pPr>
              <w:pStyle w:val="TableParagraph"/>
              <w:ind w:left="108" w:right="96"/>
              <w:jc w:val="both"/>
              <w:rPr>
                <w:sz w:val="28"/>
              </w:rPr>
            </w:pPr>
            <w:r>
              <w:rPr>
                <w:sz w:val="28"/>
              </w:rPr>
              <w:t>The student is placed in a position to apply the methodological background and the knowledge, framing, addressing and solving, from a legal point of view, the criticalities and concrete problems relating to the discipline.</w:t>
            </w:r>
          </w:p>
          <w:p>
            <w:pPr>
              <w:pStyle w:val="TableParagraph"/>
              <w:spacing w:line="315" w:lineRule="exact"/>
              <w:ind w:left="108"/>
              <w:jc w:val="both"/>
              <w:rPr>
                <w:sz w:val="28"/>
              </w:rPr>
            </w:pPr>
            <w:r>
              <w:rPr>
                <w:sz w:val="28"/>
                <w:u w:val="single"/>
              </w:rPr>
              <w:t>Autonomy of judgment.</w:t>
            </w:r>
          </w:p>
          <w:p>
            <w:pPr>
              <w:pStyle w:val="TableParagraph"/>
              <w:ind w:left="108" w:right="145"/>
              <w:rPr>
                <w:sz w:val="28"/>
              </w:rPr>
            </w:pPr>
            <w:r>
              <w:rPr>
                <w:sz w:val="28"/>
              </w:rPr>
              <w:t>The student acquires the ability to critically read the fundamental legal issues in the field of private law. The student develops an aptitude for independent legal evaluation with respect to problems and situations concerning the institutions covered by the program. He is also able to provide the most correct legal solutions with respect to cases and exercises. </w:t>
            </w:r>
            <w:r>
              <w:rPr>
                <w:sz w:val="28"/>
                <w:u w:val="single"/>
              </w:rPr>
              <w:t>Communication</w:t>
            </w:r>
            <w:r>
              <w:rPr>
                <w:spacing w:val="-2"/>
                <w:sz w:val="28"/>
                <w:u w:val="single"/>
              </w:rPr>
              <w:t> </w:t>
            </w:r>
            <w:r>
              <w:rPr>
                <w:sz w:val="28"/>
                <w:u w:val="single"/>
              </w:rPr>
              <w:t>skills</w:t>
            </w:r>
            <w:r>
              <w:rPr>
                <w:sz w:val="28"/>
              </w:rPr>
              <w:t>:</w:t>
            </w:r>
          </w:p>
          <w:p>
            <w:pPr>
              <w:pStyle w:val="TableParagraph"/>
              <w:ind w:left="108" w:right="96"/>
              <w:jc w:val="both"/>
              <w:rPr>
                <w:sz w:val="28"/>
              </w:rPr>
            </w:pPr>
            <w:r>
              <w:rPr>
                <w:sz w:val="28"/>
              </w:rPr>
              <w:t>The student becomes capable of formulating reflections, identifying problems and proposing solutions by resorting to an adequate and appropriate technical-legal language.</w:t>
            </w:r>
          </w:p>
          <w:p>
            <w:pPr>
              <w:pStyle w:val="TableParagraph"/>
              <w:spacing w:line="315" w:lineRule="exact"/>
              <w:ind w:left="108"/>
              <w:jc w:val="both"/>
              <w:rPr>
                <w:sz w:val="28"/>
              </w:rPr>
            </w:pPr>
            <w:r>
              <w:rPr>
                <w:sz w:val="28"/>
                <w:u w:val="single"/>
              </w:rPr>
              <w:t>Learning ability:</w:t>
            </w:r>
          </w:p>
          <w:p>
            <w:pPr>
              <w:pStyle w:val="TableParagraph"/>
              <w:spacing w:line="294" w:lineRule="exact"/>
              <w:ind w:left="108"/>
              <w:jc w:val="both"/>
              <w:rPr>
                <w:sz w:val="28"/>
              </w:rPr>
            </w:pPr>
            <w:r>
              <w:rPr>
                <w:sz w:val="28"/>
              </w:rPr>
              <w:t>The student is put in a position to be able to independently find and</w:t>
            </w:r>
          </w:p>
        </w:tc>
      </w:tr>
    </w:tbl>
    <w:p>
      <w:pPr>
        <w:spacing w:after="0" w:line="294" w:lineRule="exact"/>
        <w:jc w:val="both"/>
        <w:rPr>
          <w:sz w:val="28"/>
        </w:rPr>
        <w:sectPr>
          <w:type w:val="continuous"/>
          <w:pgSz w:w="11910" w:h="16840"/>
          <w:pgMar w:top="1100" w:bottom="280" w:left="320" w:right="56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4"/>
        <w:gridCol w:w="8458"/>
      </w:tblGrid>
      <w:tr>
        <w:trPr>
          <w:trHeight w:val="1520" w:hRule="atLeast"/>
        </w:trPr>
        <w:tc>
          <w:tcPr>
            <w:tcW w:w="2324" w:type="dxa"/>
          </w:tcPr>
          <w:p>
            <w:pPr>
              <w:pStyle w:val="TableParagraph"/>
              <w:rPr>
                <w:rFonts w:ascii="Times New Roman"/>
                <w:sz w:val="26"/>
              </w:rPr>
            </w:pPr>
          </w:p>
        </w:tc>
        <w:tc>
          <w:tcPr>
            <w:tcW w:w="8458" w:type="dxa"/>
          </w:tcPr>
          <w:p>
            <w:pPr>
              <w:pStyle w:val="TableParagraph"/>
              <w:spacing w:before="1"/>
              <w:ind w:left="108" w:right="92"/>
              <w:jc w:val="both"/>
              <w:rPr>
                <w:sz w:val="28"/>
              </w:rPr>
            </w:pPr>
            <w:r>
              <w:rPr>
                <w:sz w:val="28"/>
              </w:rPr>
              <w:t>interpret regulatory and jurisprudential data, as well as carry out thematic investigations with the help of doctrinal sources. The student is also able to participate in study seminars, conferences, conventions and other didactic- scientific initiatives in the private sector.</w:t>
            </w:r>
          </w:p>
        </w:tc>
      </w:tr>
      <w:tr>
        <w:trPr>
          <w:trHeight w:val="316" w:hRule="atLeast"/>
        </w:trPr>
        <w:tc>
          <w:tcPr>
            <w:tcW w:w="2324" w:type="dxa"/>
            <w:tcBorders>
              <w:bottom w:val="nil"/>
            </w:tcBorders>
          </w:tcPr>
          <w:p>
            <w:pPr>
              <w:pStyle w:val="TableParagraph"/>
              <w:rPr>
                <w:rFonts w:ascii="Times New Roman"/>
                <w:sz w:val="24"/>
              </w:rPr>
            </w:pPr>
          </w:p>
        </w:tc>
        <w:tc>
          <w:tcPr>
            <w:tcW w:w="8458" w:type="dxa"/>
            <w:tcBorders>
              <w:bottom w:val="nil"/>
            </w:tcBorders>
          </w:tcPr>
          <w:p>
            <w:pPr>
              <w:pStyle w:val="TableParagraph"/>
              <w:spacing w:line="295" w:lineRule="exact" w:before="2"/>
              <w:ind w:left="214"/>
              <w:rPr>
                <w:sz w:val="28"/>
              </w:rPr>
            </w:pPr>
            <w:r>
              <w:rPr>
                <w:sz w:val="28"/>
              </w:rPr>
              <w:t>The juridical phenomenon: objective law and social rules; private law in the</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legal system. The juridical norm: the sources of law; classification of</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sources: hierarchical principle and principle of competence; structure and</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characteristics of the norm; mandatory, dispositive and supplementary</w:t>
            </w:r>
          </w:p>
        </w:tc>
      </w:tr>
      <w:tr>
        <w:trPr>
          <w:trHeight w:val="629" w:hRule="atLeast"/>
        </w:trPr>
        <w:tc>
          <w:tcPr>
            <w:tcW w:w="2324" w:type="dxa"/>
            <w:tcBorders>
              <w:top w:val="nil"/>
              <w:bottom w:val="nil"/>
            </w:tcBorders>
          </w:tcPr>
          <w:p>
            <w:pPr>
              <w:pStyle w:val="TableParagraph"/>
              <w:spacing w:before="7"/>
              <w:rPr>
                <w:rFonts w:ascii="Bookman Old Style"/>
                <w:b/>
                <w:sz w:val="26"/>
              </w:rPr>
            </w:pPr>
          </w:p>
          <w:p>
            <w:pPr>
              <w:pStyle w:val="TableParagraph"/>
              <w:spacing w:line="296" w:lineRule="exact" w:before="1"/>
              <w:ind w:left="645"/>
              <w:rPr>
                <w:b/>
                <w:sz w:val="28"/>
              </w:rPr>
            </w:pPr>
            <w:r>
              <w:rPr>
                <w:b/>
                <w:sz w:val="28"/>
              </w:rPr>
              <w:t>Program</w:t>
            </w:r>
          </w:p>
        </w:tc>
        <w:tc>
          <w:tcPr>
            <w:tcW w:w="8458" w:type="dxa"/>
            <w:tcBorders>
              <w:top w:val="nil"/>
              <w:bottom w:val="nil"/>
            </w:tcBorders>
          </w:tcPr>
          <w:p>
            <w:pPr>
              <w:pStyle w:val="TableParagraph"/>
              <w:spacing w:line="315" w:lineRule="exact"/>
              <w:ind w:left="214"/>
              <w:rPr>
                <w:sz w:val="28"/>
              </w:rPr>
            </w:pPr>
            <w:r>
              <w:rPr>
                <w:spacing w:val="-4"/>
                <w:sz w:val="28"/>
              </w:rPr>
              <w:t>rules; </w:t>
            </w:r>
            <w:r>
              <w:rPr>
                <w:spacing w:val="-3"/>
                <w:sz w:val="28"/>
              </w:rPr>
              <w:t>spatial and temporal effectiveness </w:t>
            </w:r>
            <w:r>
              <w:rPr>
                <w:sz w:val="28"/>
              </w:rPr>
              <w:t>of </w:t>
            </w:r>
            <w:r>
              <w:rPr>
                <w:spacing w:val="-3"/>
                <w:sz w:val="28"/>
              </w:rPr>
              <w:t>legal </w:t>
            </w:r>
            <w:r>
              <w:rPr>
                <w:spacing w:val="-4"/>
                <w:sz w:val="28"/>
              </w:rPr>
              <w:t>regulations; </w:t>
            </w:r>
            <w:r>
              <w:rPr>
                <w:spacing w:val="14"/>
                <w:sz w:val="28"/>
              </w:rPr>
              <w:t> </w:t>
            </w:r>
            <w:r>
              <w:rPr>
                <w:spacing w:val="-3"/>
                <w:sz w:val="28"/>
              </w:rPr>
              <w:t>interpretation,</w:t>
            </w:r>
          </w:p>
          <w:p>
            <w:pPr>
              <w:pStyle w:val="TableParagraph"/>
              <w:spacing w:line="294" w:lineRule="exact"/>
              <w:ind w:left="214"/>
              <w:rPr>
                <w:sz w:val="28"/>
              </w:rPr>
            </w:pPr>
            <w:r>
              <w:rPr>
                <w:spacing w:val="-3"/>
                <w:sz w:val="28"/>
              </w:rPr>
              <w:t>analogy</w:t>
            </w:r>
            <w:r>
              <w:rPr>
                <w:spacing w:val="22"/>
                <w:sz w:val="28"/>
              </w:rPr>
              <w:t> </w:t>
            </w:r>
            <w:r>
              <w:rPr>
                <w:sz w:val="28"/>
              </w:rPr>
              <w:t>and</w:t>
            </w:r>
            <w:r>
              <w:rPr>
                <w:spacing w:val="23"/>
                <w:sz w:val="28"/>
              </w:rPr>
              <w:t> </w:t>
            </w:r>
            <w:r>
              <w:rPr>
                <w:spacing w:val="-3"/>
                <w:sz w:val="28"/>
              </w:rPr>
              <w:t>general</w:t>
            </w:r>
            <w:r>
              <w:rPr>
                <w:spacing w:val="21"/>
                <w:sz w:val="28"/>
              </w:rPr>
              <w:t> </w:t>
            </w:r>
            <w:r>
              <w:rPr>
                <w:spacing w:val="-3"/>
                <w:sz w:val="28"/>
              </w:rPr>
              <w:t>principles.</w:t>
            </w:r>
            <w:r>
              <w:rPr>
                <w:spacing w:val="23"/>
                <w:sz w:val="28"/>
              </w:rPr>
              <w:t> </w:t>
            </w:r>
            <w:r>
              <w:rPr>
                <w:spacing w:val="-3"/>
                <w:sz w:val="28"/>
              </w:rPr>
              <w:t>Legal</w:t>
            </w:r>
            <w:r>
              <w:rPr>
                <w:spacing w:val="22"/>
                <w:sz w:val="28"/>
              </w:rPr>
              <w:t> </w:t>
            </w:r>
            <w:r>
              <w:rPr>
                <w:spacing w:val="-3"/>
                <w:sz w:val="28"/>
              </w:rPr>
              <w:t>situations:</w:t>
            </w:r>
            <w:r>
              <w:rPr>
                <w:spacing w:val="23"/>
                <w:sz w:val="28"/>
              </w:rPr>
              <w:t> </w:t>
            </w:r>
            <w:r>
              <w:rPr>
                <w:spacing w:val="-3"/>
                <w:sz w:val="28"/>
              </w:rPr>
              <w:t>concept</w:t>
            </w:r>
            <w:r>
              <w:rPr>
                <w:spacing w:val="24"/>
                <w:sz w:val="28"/>
              </w:rPr>
              <w:t> </w:t>
            </w:r>
            <w:r>
              <w:rPr>
                <w:sz w:val="28"/>
              </w:rPr>
              <w:t>of</w:t>
            </w:r>
            <w:r>
              <w:rPr>
                <w:spacing w:val="18"/>
                <w:sz w:val="28"/>
              </w:rPr>
              <w:t> </w:t>
            </w:r>
            <w:r>
              <w:rPr>
                <w:spacing w:val="-3"/>
                <w:sz w:val="28"/>
              </w:rPr>
              <w:t>legal</w:t>
            </w:r>
            <w:r>
              <w:rPr>
                <w:spacing w:val="23"/>
                <w:sz w:val="28"/>
              </w:rPr>
              <w:t> </w:t>
            </w:r>
            <w:r>
              <w:rPr>
                <w:spacing w:val="-4"/>
                <w:sz w:val="28"/>
              </w:rPr>
              <w:t>situation</w:t>
            </w:r>
          </w:p>
        </w:tc>
      </w:tr>
      <w:tr>
        <w:trPr>
          <w:trHeight w:val="314" w:hRule="atLeast"/>
        </w:trPr>
        <w:tc>
          <w:tcPr>
            <w:tcW w:w="2324" w:type="dxa"/>
            <w:tcBorders>
              <w:top w:val="nil"/>
              <w:bottom w:val="nil"/>
            </w:tcBorders>
          </w:tcPr>
          <w:p>
            <w:pPr>
              <w:pStyle w:val="TableParagraph"/>
              <w:spacing w:line="294" w:lineRule="exact"/>
              <w:ind w:left="571"/>
              <w:rPr>
                <w:b/>
                <w:sz w:val="28"/>
              </w:rPr>
            </w:pPr>
            <w:r>
              <w:rPr>
                <w:b/>
                <w:sz w:val="28"/>
              </w:rPr>
              <w:t>(contents,</w:t>
            </w:r>
          </w:p>
        </w:tc>
        <w:tc>
          <w:tcPr>
            <w:tcW w:w="8458" w:type="dxa"/>
            <w:tcBorders>
              <w:top w:val="nil"/>
              <w:bottom w:val="nil"/>
            </w:tcBorders>
          </w:tcPr>
          <w:p>
            <w:pPr>
              <w:pStyle w:val="TableParagraph"/>
              <w:spacing w:line="293" w:lineRule="exact" w:before="1"/>
              <w:ind w:left="214"/>
              <w:rPr>
                <w:sz w:val="28"/>
              </w:rPr>
            </w:pPr>
            <w:r>
              <w:rPr>
                <w:sz w:val="28"/>
              </w:rPr>
              <w:t>and legal effect; legal causality; active and passive legal situations; legal</w:t>
            </w:r>
          </w:p>
        </w:tc>
      </w:tr>
      <w:tr>
        <w:trPr>
          <w:trHeight w:val="315" w:hRule="atLeast"/>
        </w:trPr>
        <w:tc>
          <w:tcPr>
            <w:tcW w:w="2324" w:type="dxa"/>
            <w:tcBorders>
              <w:top w:val="nil"/>
              <w:bottom w:val="nil"/>
            </w:tcBorders>
          </w:tcPr>
          <w:p>
            <w:pPr>
              <w:pStyle w:val="TableParagraph"/>
              <w:spacing w:line="296" w:lineRule="exact"/>
              <w:ind w:left="499"/>
              <w:rPr>
                <w:b/>
                <w:sz w:val="28"/>
              </w:rPr>
            </w:pPr>
            <w:r>
              <w:rPr>
                <w:b/>
                <w:sz w:val="28"/>
              </w:rPr>
              <w:t>methods of</w:t>
            </w:r>
          </w:p>
        </w:tc>
        <w:tc>
          <w:tcPr>
            <w:tcW w:w="8458" w:type="dxa"/>
            <w:tcBorders>
              <w:top w:val="nil"/>
              <w:bottom w:val="nil"/>
            </w:tcBorders>
          </w:tcPr>
          <w:p>
            <w:pPr>
              <w:pStyle w:val="TableParagraph"/>
              <w:spacing w:line="295" w:lineRule="exact" w:before="1"/>
              <w:ind w:left="214"/>
              <w:rPr>
                <w:sz w:val="28"/>
              </w:rPr>
            </w:pPr>
            <w:r>
              <w:rPr>
                <w:sz w:val="28"/>
              </w:rPr>
              <w:t>relationship. Legal entities: subjectivity and legal capacity; ability to act;</w:t>
            </w:r>
          </w:p>
        </w:tc>
      </w:tr>
      <w:tr>
        <w:trPr>
          <w:trHeight w:val="315" w:hRule="atLeast"/>
        </w:trPr>
        <w:tc>
          <w:tcPr>
            <w:tcW w:w="2324" w:type="dxa"/>
            <w:tcBorders>
              <w:top w:val="nil"/>
              <w:bottom w:val="nil"/>
            </w:tcBorders>
          </w:tcPr>
          <w:p>
            <w:pPr>
              <w:pStyle w:val="TableParagraph"/>
              <w:spacing w:line="295" w:lineRule="exact"/>
              <w:ind w:right="301"/>
              <w:jc w:val="right"/>
              <w:rPr>
                <w:b/>
                <w:sz w:val="28"/>
              </w:rPr>
            </w:pPr>
            <w:r>
              <w:rPr>
                <w:b/>
                <w:w w:val="95"/>
                <w:sz w:val="28"/>
              </w:rPr>
              <w:t>development);</w:t>
            </w:r>
          </w:p>
        </w:tc>
        <w:tc>
          <w:tcPr>
            <w:tcW w:w="8458" w:type="dxa"/>
            <w:tcBorders>
              <w:top w:val="nil"/>
              <w:bottom w:val="nil"/>
            </w:tcBorders>
          </w:tcPr>
          <w:p>
            <w:pPr>
              <w:pStyle w:val="TableParagraph"/>
              <w:spacing w:line="294" w:lineRule="exact" w:before="1"/>
              <w:ind w:left="214"/>
              <w:rPr>
                <w:sz w:val="28"/>
              </w:rPr>
            </w:pPr>
            <w:r>
              <w:rPr>
                <w:sz w:val="28"/>
              </w:rPr>
              <w:t>legitimation. Natural person: existence; domicile, residence and dimora;</w:t>
            </w:r>
          </w:p>
        </w:tc>
      </w:tr>
      <w:tr>
        <w:trPr>
          <w:trHeight w:val="315" w:hRule="atLeast"/>
        </w:trPr>
        <w:tc>
          <w:tcPr>
            <w:tcW w:w="2324" w:type="dxa"/>
            <w:tcBorders>
              <w:top w:val="nil"/>
              <w:bottom w:val="nil"/>
            </w:tcBorders>
          </w:tcPr>
          <w:p>
            <w:pPr>
              <w:pStyle w:val="TableParagraph"/>
              <w:spacing w:line="295" w:lineRule="exact"/>
              <w:ind w:left="668"/>
              <w:rPr>
                <w:b/>
                <w:sz w:val="28"/>
              </w:rPr>
            </w:pPr>
            <w:r>
              <w:rPr>
                <w:b/>
                <w:sz w:val="28"/>
              </w:rPr>
              <w:t>Possible</w:t>
            </w:r>
          </w:p>
        </w:tc>
        <w:tc>
          <w:tcPr>
            <w:tcW w:w="8458" w:type="dxa"/>
            <w:tcBorders>
              <w:top w:val="nil"/>
              <w:bottom w:val="nil"/>
            </w:tcBorders>
          </w:tcPr>
          <w:p>
            <w:pPr>
              <w:pStyle w:val="TableParagraph"/>
              <w:tabs>
                <w:tab w:pos="1259" w:val="left" w:leader="none"/>
                <w:tab w:pos="1924" w:val="left" w:leader="none"/>
                <w:tab w:pos="3000" w:val="left" w:leader="none"/>
                <w:tab w:pos="4867" w:val="left" w:leader="none"/>
                <w:tab w:pos="5531" w:val="left" w:leader="none"/>
                <w:tab w:pos="7327" w:val="left" w:leader="none"/>
              </w:tabs>
              <w:spacing w:line="295" w:lineRule="exact"/>
              <w:ind w:left="214"/>
              <w:rPr>
                <w:sz w:val="28"/>
              </w:rPr>
            </w:pPr>
            <w:r>
              <w:rPr>
                <w:spacing w:val="-3"/>
                <w:sz w:val="28"/>
              </w:rPr>
              <w:t>kinship</w:t>
              <w:tab/>
              <w:t>and</w:t>
              <w:tab/>
              <w:t>affinity;</w:t>
              <w:tab/>
            </w:r>
            <w:r>
              <w:rPr>
                <w:spacing w:val="-4"/>
                <w:sz w:val="28"/>
              </w:rPr>
              <w:t>disqualification</w:t>
              <w:tab/>
            </w:r>
            <w:r>
              <w:rPr>
                <w:spacing w:val="-3"/>
                <w:sz w:val="28"/>
              </w:rPr>
              <w:t>and</w:t>
              <w:tab/>
            </w:r>
            <w:r>
              <w:rPr>
                <w:spacing w:val="-4"/>
                <w:sz w:val="28"/>
              </w:rPr>
              <w:t>incapacitation;</w:t>
              <w:tab/>
              <w:t>support</w:t>
            </w:r>
          </w:p>
        </w:tc>
      </w:tr>
      <w:tr>
        <w:trPr>
          <w:trHeight w:val="315" w:hRule="atLeast"/>
        </w:trPr>
        <w:tc>
          <w:tcPr>
            <w:tcW w:w="2324" w:type="dxa"/>
            <w:tcBorders>
              <w:top w:val="nil"/>
              <w:bottom w:val="nil"/>
            </w:tcBorders>
          </w:tcPr>
          <w:p>
            <w:pPr>
              <w:pStyle w:val="TableParagraph"/>
              <w:spacing w:line="295" w:lineRule="exact"/>
              <w:ind w:right="366"/>
              <w:jc w:val="right"/>
              <w:rPr>
                <w:b/>
                <w:sz w:val="28"/>
              </w:rPr>
            </w:pPr>
            <w:r>
              <w:rPr>
                <w:b/>
                <w:sz w:val="28"/>
              </w:rPr>
              <w:t>distinction of</w:t>
            </w:r>
          </w:p>
        </w:tc>
        <w:tc>
          <w:tcPr>
            <w:tcW w:w="8458" w:type="dxa"/>
            <w:tcBorders>
              <w:top w:val="nil"/>
              <w:bottom w:val="nil"/>
            </w:tcBorders>
          </w:tcPr>
          <w:p>
            <w:pPr>
              <w:pStyle w:val="TableParagraph"/>
              <w:spacing w:line="294" w:lineRule="exact" w:before="1"/>
              <w:ind w:left="214"/>
              <w:rPr>
                <w:sz w:val="28"/>
              </w:rPr>
            </w:pPr>
            <w:r>
              <w:rPr>
                <w:spacing w:val="-4"/>
                <w:sz w:val="28"/>
              </w:rPr>
              <w:t>administration; </w:t>
            </w:r>
            <w:r>
              <w:rPr>
                <w:spacing w:val="-3"/>
                <w:sz w:val="28"/>
              </w:rPr>
              <w:t>disappearance, absence and </w:t>
            </w:r>
            <w:r>
              <w:rPr>
                <w:spacing w:val="-4"/>
                <w:sz w:val="28"/>
              </w:rPr>
              <w:t>declaration </w:t>
            </w:r>
            <w:r>
              <w:rPr>
                <w:sz w:val="28"/>
              </w:rPr>
              <w:t>of </w:t>
            </w:r>
            <w:r>
              <w:rPr>
                <w:spacing w:val="-3"/>
                <w:sz w:val="28"/>
              </w:rPr>
              <w:t>presumed</w:t>
            </w:r>
            <w:r>
              <w:rPr>
                <w:spacing w:val="54"/>
                <w:sz w:val="28"/>
              </w:rPr>
              <w:t> </w:t>
            </w:r>
            <w:r>
              <w:rPr>
                <w:spacing w:val="-4"/>
                <w:sz w:val="28"/>
              </w:rPr>
              <w:t>death;</w:t>
            </w:r>
          </w:p>
        </w:tc>
      </w:tr>
      <w:tr>
        <w:trPr>
          <w:trHeight w:val="315" w:hRule="atLeast"/>
        </w:trPr>
        <w:tc>
          <w:tcPr>
            <w:tcW w:w="2324" w:type="dxa"/>
            <w:tcBorders>
              <w:top w:val="nil"/>
              <w:bottom w:val="nil"/>
            </w:tcBorders>
          </w:tcPr>
          <w:p>
            <w:pPr>
              <w:pStyle w:val="TableParagraph"/>
              <w:spacing w:line="295" w:lineRule="exact"/>
              <w:ind w:left="596"/>
              <w:rPr>
                <w:b/>
                <w:sz w:val="28"/>
              </w:rPr>
            </w:pPr>
            <w:r>
              <w:rPr>
                <w:b/>
                <w:sz w:val="28"/>
              </w:rPr>
              <w:t>programs</w:t>
            </w:r>
          </w:p>
        </w:tc>
        <w:tc>
          <w:tcPr>
            <w:tcW w:w="8458" w:type="dxa"/>
            <w:tcBorders>
              <w:top w:val="nil"/>
              <w:bottom w:val="nil"/>
            </w:tcBorders>
          </w:tcPr>
          <w:p>
            <w:pPr>
              <w:pStyle w:val="TableParagraph"/>
              <w:spacing w:line="295" w:lineRule="exact"/>
              <w:ind w:left="214"/>
              <w:rPr>
                <w:sz w:val="28"/>
              </w:rPr>
            </w:pPr>
            <w:r>
              <w:rPr>
                <w:sz w:val="28"/>
              </w:rPr>
              <w:t>death and commorience. Legal persons: associations and foundations.</w:t>
            </w:r>
          </w:p>
        </w:tc>
      </w:tr>
      <w:tr>
        <w:trPr>
          <w:trHeight w:val="315" w:hRule="atLeast"/>
        </w:trPr>
        <w:tc>
          <w:tcPr>
            <w:tcW w:w="2324" w:type="dxa"/>
            <w:tcBorders>
              <w:top w:val="nil"/>
              <w:bottom w:val="nil"/>
            </w:tcBorders>
          </w:tcPr>
          <w:p>
            <w:pPr>
              <w:pStyle w:val="TableParagraph"/>
              <w:spacing w:line="295" w:lineRule="exact"/>
              <w:ind w:left="668"/>
              <w:rPr>
                <w:b/>
                <w:sz w:val="28"/>
              </w:rPr>
            </w:pPr>
            <w:r>
              <w:rPr>
                <w:b/>
                <w:sz w:val="28"/>
              </w:rPr>
              <w:t>between</w:t>
            </w:r>
          </w:p>
        </w:tc>
        <w:tc>
          <w:tcPr>
            <w:tcW w:w="8458" w:type="dxa"/>
            <w:tcBorders>
              <w:top w:val="nil"/>
              <w:bottom w:val="nil"/>
            </w:tcBorders>
          </w:tcPr>
          <w:p>
            <w:pPr>
              <w:pStyle w:val="TableParagraph"/>
              <w:spacing w:line="294" w:lineRule="exact" w:before="1"/>
              <w:ind w:left="214"/>
              <w:rPr>
                <w:sz w:val="28"/>
              </w:rPr>
            </w:pPr>
            <w:r>
              <w:rPr>
                <w:sz w:val="28"/>
              </w:rPr>
              <w:t>Unrecognized bodies: unrecognized associations, committees. Non-profit</w:t>
            </w:r>
          </w:p>
        </w:tc>
      </w:tr>
      <w:tr>
        <w:trPr>
          <w:trHeight w:val="315" w:hRule="atLeast"/>
        </w:trPr>
        <w:tc>
          <w:tcPr>
            <w:tcW w:w="2324" w:type="dxa"/>
            <w:tcBorders>
              <w:top w:val="nil"/>
              <w:bottom w:val="nil"/>
            </w:tcBorders>
          </w:tcPr>
          <w:p>
            <w:pPr>
              <w:pStyle w:val="TableParagraph"/>
              <w:spacing w:line="295" w:lineRule="exact"/>
              <w:ind w:right="326"/>
              <w:jc w:val="right"/>
              <w:rPr>
                <w:b/>
                <w:sz w:val="28"/>
              </w:rPr>
            </w:pPr>
            <w:r>
              <w:rPr>
                <w:b/>
                <w:sz w:val="28"/>
              </w:rPr>
              <w:t>attending and</w:t>
            </w:r>
          </w:p>
        </w:tc>
        <w:tc>
          <w:tcPr>
            <w:tcW w:w="8458" w:type="dxa"/>
            <w:tcBorders>
              <w:top w:val="nil"/>
              <w:bottom w:val="nil"/>
            </w:tcBorders>
          </w:tcPr>
          <w:p>
            <w:pPr>
              <w:pStyle w:val="TableParagraph"/>
              <w:spacing w:line="295" w:lineRule="exact"/>
              <w:ind w:left="214"/>
              <w:rPr>
                <w:sz w:val="28"/>
              </w:rPr>
            </w:pPr>
            <w:r>
              <w:rPr>
                <w:sz w:val="28"/>
              </w:rPr>
              <w:t>organizations and social promotion associations. The person and the rights</w:t>
            </w:r>
          </w:p>
        </w:tc>
      </w:tr>
      <w:tr>
        <w:trPr>
          <w:trHeight w:val="315" w:hRule="atLeast"/>
        </w:trPr>
        <w:tc>
          <w:tcPr>
            <w:tcW w:w="2324" w:type="dxa"/>
            <w:tcBorders>
              <w:top w:val="nil"/>
              <w:bottom w:val="nil"/>
            </w:tcBorders>
          </w:tcPr>
          <w:p>
            <w:pPr>
              <w:pStyle w:val="TableParagraph"/>
              <w:spacing w:line="295" w:lineRule="exact"/>
              <w:ind w:right="309"/>
              <w:jc w:val="right"/>
              <w:rPr>
                <w:b/>
                <w:sz w:val="28"/>
              </w:rPr>
            </w:pPr>
            <w:r>
              <w:rPr>
                <w:b/>
                <w:w w:val="95"/>
                <w:sz w:val="28"/>
              </w:rPr>
              <w:t>non-attending</w:t>
            </w:r>
          </w:p>
        </w:tc>
        <w:tc>
          <w:tcPr>
            <w:tcW w:w="8458" w:type="dxa"/>
            <w:tcBorders>
              <w:top w:val="nil"/>
              <w:bottom w:val="nil"/>
            </w:tcBorders>
          </w:tcPr>
          <w:p>
            <w:pPr>
              <w:pStyle w:val="TableParagraph"/>
              <w:spacing w:line="294" w:lineRule="exact" w:before="1"/>
              <w:ind w:left="214"/>
              <w:rPr>
                <w:sz w:val="28"/>
              </w:rPr>
            </w:pPr>
            <w:r>
              <w:rPr>
                <w:sz w:val="28"/>
              </w:rPr>
              <w:t>of the personality: constitutional principles on the protection of the human</w:t>
            </w:r>
          </w:p>
        </w:tc>
      </w:tr>
      <w:tr>
        <w:trPr>
          <w:trHeight w:val="315" w:hRule="atLeast"/>
        </w:trPr>
        <w:tc>
          <w:tcPr>
            <w:tcW w:w="2324" w:type="dxa"/>
            <w:tcBorders>
              <w:top w:val="nil"/>
              <w:bottom w:val="nil"/>
            </w:tcBorders>
          </w:tcPr>
          <w:p>
            <w:pPr>
              <w:pStyle w:val="TableParagraph"/>
              <w:spacing w:line="296" w:lineRule="exact"/>
              <w:ind w:left="660"/>
              <w:rPr>
                <w:b/>
                <w:sz w:val="28"/>
              </w:rPr>
            </w:pPr>
            <w:r>
              <w:rPr>
                <w:b/>
                <w:sz w:val="28"/>
              </w:rPr>
              <w:t>students</w:t>
            </w:r>
          </w:p>
        </w:tc>
        <w:tc>
          <w:tcPr>
            <w:tcW w:w="8458" w:type="dxa"/>
            <w:tcBorders>
              <w:top w:val="nil"/>
              <w:bottom w:val="nil"/>
            </w:tcBorders>
          </w:tcPr>
          <w:p>
            <w:pPr>
              <w:pStyle w:val="TableParagraph"/>
              <w:spacing w:line="295" w:lineRule="exact"/>
              <w:ind w:left="214"/>
              <w:rPr>
                <w:sz w:val="28"/>
              </w:rPr>
            </w:pPr>
            <w:r>
              <w:rPr>
                <w:sz w:val="28"/>
              </w:rPr>
              <w:t>person; acts of disposition of one’s body; transplants; civil protection of</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the human person: the rights of the personality; physical integrity and</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moral integrity; right to a name; right to image; right to personal identity;</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right to confidentiality and processing of personal data; transexualism and</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the right to sexual identity. The legal object: things and assets; heritage;</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categories of goods. Public goods. Asset universality. Relevance. Fruits.</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tabs>
                <w:tab w:pos="1386" w:val="left" w:leader="none"/>
                <w:tab w:pos="2464" w:val="left" w:leader="none"/>
                <w:tab w:pos="3653" w:val="left" w:leader="none"/>
                <w:tab w:pos="4289" w:val="left" w:leader="none"/>
                <w:tab w:pos="5965" w:val="left" w:leader="none"/>
                <w:tab w:pos="7291" w:val="left" w:leader="none"/>
              </w:tabs>
              <w:spacing w:line="295" w:lineRule="exact"/>
              <w:ind w:left="214"/>
              <w:rPr>
                <w:sz w:val="28"/>
              </w:rPr>
            </w:pPr>
            <w:r>
              <w:rPr>
                <w:spacing w:val="-3"/>
                <w:sz w:val="28"/>
              </w:rPr>
              <w:t>Property</w:t>
              <w:tab/>
              <w:t>(general</w:t>
              <w:tab/>
              <w:t>concepts</w:t>
              <w:tab/>
              <w:t>and</w:t>
              <w:tab/>
            </w:r>
            <w:r>
              <w:rPr>
                <w:spacing w:val="-4"/>
                <w:sz w:val="28"/>
              </w:rPr>
              <w:t>constitutional</w:t>
              <w:tab/>
            </w:r>
            <w:r>
              <w:rPr>
                <w:spacing w:val="-3"/>
                <w:sz w:val="28"/>
              </w:rPr>
              <w:t>principles;</w:t>
              <w:tab/>
            </w:r>
            <w:r>
              <w:rPr>
                <w:spacing w:val="-4"/>
                <w:sz w:val="28"/>
              </w:rPr>
              <w:t>building</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ownership; methods of purchase; legal limits and neighborly relations;</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actions in defense of property). Real rights of enjoyment over other</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people’s property (general notions: nature, content and question of the</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typicality of real rights; right of superficies; emphyteusis; usufruct, use and</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habitation; servitude). The real charges and the obligations </w:t>
            </w:r>
            <w:r>
              <w:rPr>
                <w:i/>
                <w:sz w:val="28"/>
              </w:rPr>
              <w:t>propter rem</w:t>
            </w:r>
            <w:r>
              <w:rPr>
                <w:sz w:val="28"/>
              </w:rPr>
              <w:t>.</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Communion and condominium in the buildings. Timeshare. Possession</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(possession and detention; qualifications and effects of possession; actions</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to defend possession and actions of nunciation). Legal facts: notions and</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classifications of legal facts; declarations: of science and of will (negotiated</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and non-negotiated). Prescription and decadence. Proof of legal facts:</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burden of proof and individual means of proof (documentary evidence;</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testimony; presumptions; confession; oath).  The contract in general:</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private autonomy; real deed, legal transaction and contract; classifications</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4"/>
              <w:rPr>
                <w:sz w:val="28"/>
              </w:rPr>
            </w:pPr>
            <w:r>
              <w:rPr>
                <w:sz w:val="28"/>
              </w:rPr>
              <w:t>of legal transactions; negotiation atypicality; unilateral acts. Subjects and</w:t>
            </w:r>
          </w:p>
        </w:tc>
      </w:tr>
      <w:tr>
        <w:trPr>
          <w:trHeight w:val="312"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2" w:lineRule="exact"/>
              <w:ind w:left="214"/>
              <w:rPr>
                <w:sz w:val="28"/>
              </w:rPr>
            </w:pPr>
            <w:r>
              <w:rPr>
                <w:spacing w:val="-4"/>
                <w:sz w:val="28"/>
              </w:rPr>
              <w:t>contractual parties; </w:t>
            </w:r>
            <w:r>
              <w:rPr>
                <w:spacing w:val="-3"/>
                <w:sz w:val="28"/>
              </w:rPr>
              <w:t>representation; contract </w:t>
            </w:r>
            <w:r>
              <w:rPr>
                <w:sz w:val="28"/>
              </w:rPr>
              <w:t>for </w:t>
            </w:r>
            <w:r>
              <w:rPr>
                <w:spacing w:val="-4"/>
                <w:sz w:val="28"/>
              </w:rPr>
              <w:t>person </w:t>
            </w:r>
            <w:r>
              <w:rPr>
                <w:sz w:val="28"/>
              </w:rPr>
              <w:t>to be</w:t>
            </w:r>
            <w:r>
              <w:rPr>
                <w:spacing w:val="54"/>
                <w:sz w:val="28"/>
              </w:rPr>
              <w:t> </w:t>
            </w:r>
            <w:r>
              <w:rPr>
                <w:spacing w:val="-4"/>
                <w:sz w:val="28"/>
              </w:rPr>
              <w:t>appointed;</w:t>
            </w:r>
          </w:p>
        </w:tc>
      </w:tr>
      <w:tr>
        <w:trPr>
          <w:trHeight w:val="314"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3" w:lineRule="exact" w:before="1"/>
              <w:ind w:left="215"/>
              <w:rPr>
                <w:sz w:val="28"/>
              </w:rPr>
            </w:pPr>
            <w:r>
              <w:rPr>
                <w:sz w:val="28"/>
              </w:rPr>
              <w:t>contract on behalf of whoever is entitled. Essential elements: negotiating</w:t>
            </w:r>
          </w:p>
        </w:tc>
      </w:tr>
      <w:tr>
        <w:trPr>
          <w:trHeight w:val="312"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tabs>
                <w:tab w:pos="842" w:val="left" w:leader="none"/>
                <w:tab w:pos="1490" w:val="left" w:leader="none"/>
                <w:tab w:pos="2921" w:val="left" w:leader="none"/>
                <w:tab w:pos="4278" w:val="left" w:leader="none"/>
                <w:tab w:pos="6217" w:val="left" w:leader="none"/>
                <w:tab w:pos="7764" w:val="left" w:leader="none"/>
              </w:tabs>
              <w:spacing w:line="293" w:lineRule="exact"/>
              <w:ind w:left="213"/>
              <w:rPr>
                <w:sz w:val="28"/>
              </w:rPr>
            </w:pPr>
            <w:r>
              <w:rPr>
                <w:spacing w:val="-3"/>
                <w:sz w:val="28"/>
              </w:rPr>
              <w:t>will</w:t>
              <w:tab/>
              <w:t>and</w:t>
              <w:tab/>
            </w:r>
            <w:r>
              <w:rPr>
                <w:spacing w:val="-4"/>
                <w:sz w:val="28"/>
              </w:rPr>
              <w:t>contractual</w:t>
              <w:tab/>
            </w:r>
            <w:r>
              <w:rPr>
                <w:spacing w:val="-3"/>
                <w:sz w:val="28"/>
              </w:rPr>
              <w:t>agreement</w:t>
              <w:tab/>
            </w:r>
            <w:r>
              <w:rPr>
                <w:spacing w:val="-4"/>
                <w:sz w:val="28"/>
              </w:rPr>
              <w:t>(pre-contractual</w:t>
              <w:tab/>
            </w:r>
            <w:r>
              <w:rPr>
                <w:spacing w:val="-3"/>
                <w:sz w:val="28"/>
              </w:rPr>
              <w:t>negotiations</w:t>
              <w:tab/>
              <w:t>and</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3"/>
              <w:rPr>
                <w:sz w:val="28"/>
              </w:rPr>
            </w:pPr>
            <w:r>
              <w:rPr>
                <w:sz w:val="28"/>
              </w:rPr>
              <w:t>responsibility; preparatory agreements and preliminary contract; legal and</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spacing w:line="295" w:lineRule="exact"/>
              <w:ind w:left="213"/>
              <w:rPr>
                <w:sz w:val="28"/>
              </w:rPr>
            </w:pPr>
            <w:r>
              <w:rPr>
                <w:sz w:val="28"/>
              </w:rPr>
              <w:t>voluntary pre-emption; contract formation process and legal value of</w:t>
            </w:r>
          </w:p>
        </w:tc>
      </w:tr>
      <w:tr>
        <w:trPr>
          <w:trHeight w:val="315" w:hRule="atLeast"/>
        </w:trPr>
        <w:tc>
          <w:tcPr>
            <w:tcW w:w="2324" w:type="dxa"/>
            <w:tcBorders>
              <w:top w:val="nil"/>
              <w:bottom w:val="nil"/>
            </w:tcBorders>
          </w:tcPr>
          <w:p>
            <w:pPr>
              <w:pStyle w:val="TableParagraph"/>
              <w:rPr>
                <w:rFonts w:ascii="Times New Roman"/>
                <w:sz w:val="22"/>
              </w:rPr>
            </w:pPr>
          </w:p>
        </w:tc>
        <w:tc>
          <w:tcPr>
            <w:tcW w:w="8458" w:type="dxa"/>
            <w:tcBorders>
              <w:top w:val="nil"/>
              <w:bottom w:val="nil"/>
            </w:tcBorders>
          </w:tcPr>
          <w:p>
            <w:pPr>
              <w:pStyle w:val="TableParagraph"/>
              <w:tabs>
                <w:tab w:pos="1193" w:val="left" w:leader="none"/>
                <w:tab w:pos="2167" w:val="left" w:leader="none"/>
                <w:tab w:pos="3718" w:val="left" w:leader="none"/>
                <w:tab w:pos="4726" w:val="left" w:leader="none"/>
                <w:tab w:pos="6079" w:val="left" w:leader="none"/>
                <w:tab w:pos="7179" w:val="left" w:leader="none"/>
                <w:tab w:pos="7763" w:val="left" w:leader="none"/>
              </w:tabs>
              <w:spacing w:line="295" w:lineRule="exact"/>
              <w:ind w:left="214"/>
              <w:rPr>
                <w:sz w:val="28"/>
              </w:rPr>
            </w:pPr>
            <w:r>
              <w:rPr>
                <w:spacing w:val="-3"/>
                <w:sz w:val="28"/>
              </w:rPr>
              <w:t>silence;</w:t>
              <w:tab/>
            </w:r>
            <w:r>
              <w:rPr>
                <w:spacing w:val="-4"/>
                <w:sz w:val="28"/>
              </w:rPr>
              <w:t>option;</w:t>
              <w:tab/>
            </w:r>
            <w:r>
              <w:rPr>
                <w:spacing w:val="-3"/>
                <w:sz w:val="28"/>
              </w:rPr>
              <w:t>standardized</w:t>
              <w:tab/>
              <w:t>clauses;</w:t>
              <w:tab/>
              <w:t>divergence</w:t>
              <w:tab/>
              <w:t>between</w:t>
              <w:tab/>
              <w:t>will</w:t>
              <w:tab/>
              <w:t>and</w:t>
            </w:r>
          </w:p>
        </w:tc>
      </w:tr>
      <w:tr>
        <w:trPr>
          <w:trHeight w:val="315" w:hRule="atLeast"/>
        </w:trPr>
        <w:tc>
          <w:tcPr>
            <w:tcW w:w="2324" w:type="dxa"/>
            <w:tcBorders>
              <w:top w:val="nil"/>
            </w:tcBorders>
          </w:tcPr>
          <w:p>
            <w:pPr>
              <w:pStyle w:val="TableParagraph"/>
              <w:rPr>
                <w:rFonts w:ascii="Times New Roman"/>
                <w:sz w:val="22"/>
              </w:rPr>
            </w:pPr>
          </w:p>
        </w:tc>
        <w:tc>
          <w:tcPr>
            <w:tcW w:w="8458" w:type="dxa"/>
            <w:tcBorders>
              <w:top w:val="nil"/>
            </w:tcBorders>
          </w:tcPr>
          <w:p>
            <w:pPr>
              <w:pStyle w:val="TableParagraph"/>
              <w:spacing w:line="295" w:lineRule="exact"/>
              <w:ind w:left="214"/>
              <w:rPr>
                <w:sz w:val="28"/>
              </w:rPr>
            </w:pPr>
            <w:r>
              <w:rPr>
                <w:spacing w:val="-3"/>
                <w:sz w:val="28"/>
              </w:rPr>
              <w:t>declaration </w:t>
            </w:r>
            <w:r>
              <w:rPr>
                <w:sz w:val="28"/>
              </w:rPr>
              <w:t>(in </w:t>
            </w:r>
            <w:r>
              <w:rPr>
                <w:spacing w:val="-3"/>
                <w:sz w:val="28"/>
              </w:rPr>
              <w:t>particular: </w:t>
            </w:r>
            <w:r>
              <w:rPr>
                <w:spacing w:val="-4"/>
                <w:sz w:val="28"/>
              </w:rPr>
              <w:t>simulation;</w:t>
            </w:r>
            <w:r>
              <w:rPr>
                <w:spacing w:val="62"/>
                <w:sz w:val="28"/>
              </w:rPr>
              <w:t> </w:t>
            </w:r>
            <w:r>
              <w:rPr>
                <w:spacing w:val="-4"/>
                <w:sz w:val="28"/>
              </w:rPr>
              <w:t>other</w:t>
            </w:r>
            <w:r>
              <w:rPr>
                <w:spacing w:val="62"/>
                <w:sz w:val="28"/>
              </w:rPr>
              <w:t> </w:t>
            </w:r>
            <w:r>
              <w:rPr>
                <w:spacing w:val="-3"/>
                <w:sz w:val="28"/>
              </w:rPr>
              <w:t>cases </w:t>
            </w:r>
            <w:r>
              <w:rPr>
                <w:sz w:val="28"/>
              </w:rPr>
              <w:t>of </w:t>
            </w:r>
            <w:r>
              <w:rPr>
                <w:spacing w:val="-4"/>
                <w:sz w:val="28"/>
              </w:rPr>
              <w:t>divergence); </w:t>
            </w:r>
            <w:r>
              <w:rPr>
                <w:spacing w:val="-3"/>
                <w:sz w:val="28"/>
              </w:rPr>
              <w:t>legal</w:t>
            </w:r>
          </w:p>
        </w:tc>
      </w:tr>
    </w:tbl>
    <w:p>
      <w:pPr>
        <w:spacing w:after="0" w:line="295" w:lineRule="exact"/>
        <w:rPr>
          <w:sz w:val="28"/>
        </w:rPr>
        <w:sectPr>
          <w:pgSz w:w="11910" w:h="16840"/>
          <w:pgMar w:top="1360" w:bottom="280" w:left="320" w:right="56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4"/>
        <w:gridCol w:w="8458"/>
      </w:tblGrid>
      <w:tr>
        <w:trPr>
          <w:trHeight w:val="12600" w:hRule="atLeast"/>
        </w:trPr>
        <w:tc>
          <w:tcPr>
            <w:tcW w:w="2324" w:type="dxa"/>
          </w:tcPr>
          <w:p>
            <w:pPr>
              <w:pStyle w:val="TableParagraph"/>
              <w:rPr>
                <w:rFonts w:ascii="Times New Roman"/>
                <w:sz w:val="26"/>
              </w:rPr>
            </w:pPr>
          </w:p>
        </w:tc>
        <w:tc>
          <w:tcPr>
            <w:tcW w:w="8458" w:type="dxa"/>
          </w:tcPr>
          <w:p>
            <w:pPr>
              <w:pStyle w:val="TableParagraph"/>
              <w:tabs>
                <w:tab w:pos="677" w:val="left" w:leader="none"/>
                <w:tab w:pos="1002" w:val="left" w:leader="none"/>
                <w:tab w:pos="1264" w:val="left" w:leader="none"/>
                <w:tab w:pos="1397" w:val="left" w:leader="none"/>
                <w:tab w:pos="1455" w:val="left" w:leader="none"/>
                <w:tab w:pos="1515" w:val="left" w:leader="none"/>
                <w:tab w:pos="1999" w:val="left" w:leader="none"/>
                <w:tab w:pos="2407" w:val="left" w:leader="none"/>
                <w:tab w:pos="2574" w:val="left" w:leader="none"/>
                <w:tab w:pos="2715" w:val="left" w:leader="none"/>
                <w:tab w:pos="3016" w:val="left" w:leader="none"/>
                <w:tab w:pos="3462" w:val="left" w:leader="none"/>
                <w:tab w:pos="3566" w:val="left" w:leader="none"/>
                <w:tab w:pos="3699" w:val="left" w:leader="none"/>
                <w:tab w:pos="3859" w:val="left" w:leader="none"/>
                <w:tab w:pos="4380" w:val="left" w:leader="none"/>
                <w:tab w:pos="4471" w:val="left" w:leader="none"/>
                <w:tab w:pos="4709" w:val="left" w:leader="none"/>
                <w:tab w:pos="5402" w:val="left" w:leader="none"/>
                <w:tab w:pos="5453" w:val="left" w:leader="none"/>
                <w:tab w:pos="5579" w:val="left" w:leader="none"/>
                <w:tab w:pos="6027" w:val="left" w:leader="none"/>
                <w:tab w:pos="6143" w:val="left" w:leader="none"/>
                <w:tab w:pos="6747" w:val="left" w:leader="none"/>
                <w:tab w:pos="6825" w:val="left" w:leader="none"/>
                <w:tab w:pos="7399" w:val="left" w:leader="none"/>
                <w:tab w:pos="7908" w:val="left" w:leader="none"/>
              </w:tabs>
              <w:spacing w:before="1"/>
              <w:ind w:left="213" w:right="286"/>
              <w:rPr>
                <w:sz w:val="28"/>
              </w:rPr>
            </w:pPr>
            <w:r>
              <w:rPr>
                <w:spacing w:val="-4"/>
                <w:sz w:val="28"/>
              </w:rPr>
              <w:t>intent); </w:t>
            </w:r>
            <w:r>
              <w:rPr>
                <w:spacing w:val="-3"/>
                <w:sz w:val="28"/>
              </w:rPr>
              <w:t>cause (notion; cause </w:t>
            </w:r>
            <w:r>
              <w:rPr>
                <w:sz w:val="28"/>
              </w:rPr>
              <w:t>and </w:t>
            </w:r>
            <w:r>
              <w:rPr>
                <w:spacing w:val="-3"/>
                <w:sz w:val="28"/>
              </w:rPr>
              <w:t>type </w:t>
            </w:r>
            <w:r>
              <w:rPr>
                <w:sz w:val="28"/>
              </w:rPr>
              <w:t>of </w:t>
            </w:r>
            <w:r>
              <w:rPr>
                <w:spacing w:val="-3"/>
                <w:sz w:val="28"/>
              </w:rPr>
              <w:t>negotiation; abstract contract; indirect contract; </w:t>
            </w:r>
            <w:r>
              <w:rPr>
                <w:spacing w:val="-4"/>
                <w:sz w:val="28"/>
              </w:rPr>
              <w:t>trust </w:t>
            </w:r>
            <w:r>
              <w:rPr>
                <w:spacing w:val="-3"/>
                <w:sz w:val="28"/>
              </w:rPr>
              <w:t>agreement; </w:t>
            </w:r>
            <w:r>
              <w:rPr>
                <w:spacing w:val="-4"/>
                <w:sz w:val="28"/>
              </w:rPr>
              <w:t>negotiation link; illicit </w:t>
            </w:r>
            <w:r>
              <w:rPr>
                <w:sz w:val="28"/>
              </w:rPr>
              <w:t>cause; </w:t>
            </w:r>
            <w:r>
              <w:rPr>
                <w:spacing w:val="-3"/>
                <w:sz w:val="28"/>
              </w:rPr>
              <w:t>fraud </w:t>
            </w:r>
            <w:r>
              <w:rPr>
                <w:sz w:val="28"/>
              </w:rPr>
              <w:t>of </w:t>
            </w:r>
            <w:r>
              <w:rPr>
                <w:spacing w:val="-3"/>
                <w:sz w:val="28"/>
              </w:rPr>
              <w:t>the law; </w:t>
            </w:r>
            <w:r>
              <w:rPr>
                <w:spacing w:val="-4"/>
                <w:sz w:val="28"/>
              </w:rPr>
              <w:t>reasons);  object</w:t>
            </w:r>
            <w:r>
              <w:rPr>
                <w:spacing w:val="62"/>
                <w:sz w:val="28"/>
              </w:rPr>
              <w:t> </w:t>
            </w:r>
            <w:r>
              <w:rPr>
                <w:spacing w:val="-3"/>
                <w:sz w:val="28"/>
              </w:rPr>
              <w:t>(concept; requirements; arbitration; substantive </w:t>
            </w:r>
            <w:r>
              <w:rPr>
                <w:spacing w:val="-4"/>
                <w:sz w:val="28"/>
              </w:rPr>
              <w:t>relatio);</w:t>
              <w:tab/>
            </w:r>
            <w:r>
              <w:rPr>
                <w:spacing w:val="-3"/>
                <w:sz w:val="28"/>
              </w:rPr>
              <w:t>form (notion; </w:t>
            </w:r>
            <w:r>
              <w:rPr>
                <w:i/>
                <w:sz w:val="28"/>
              </w:rPr>
              <w:t>ad </w:t>
            </w:r>
            <w:r>
              <w:rPr>
                <w:i/>
                <w:spacing w:val="-3"/>
                <w:sz w:val="28"/>
              </w:rPr>
              <w:t>substantiam, </w:t>
            </w:r>
            <w:r>
              <w:rPr>
                <w:i/>
                <w:sz w:val="28"/>
              </w:rPr>
              <w:t>ad </w:t>
            </w:r>
            <w:r>
              <w:rPr>
                <w:i/>
                <w:spacing w:val="-4"/>
                <w:sz w:val="28"/>
              </w:rPr>
              <w:t>probationem </w:t>
            </w:r>
            <w:r>
              <w:rPr>
                <w:spacing w:val="-3"/>
                <w:sz w:val="28"/>
              </w:rPr>
              <w:t>and </w:t>
            </w:r>
            <w:r>
              <w:rPr>
                <w:i/>
                <w:sz w:val="28"/>
              </w:rPr>
              <w:t>ad  </w:t>
            </w:r>
            <w:r>
              <w:rPr>
                <w:i/>
                <w:spacing w:val="-4"/>
                <w:sz w:val="28"/>
              </w:rPr>
              <w:t>regularitatem </w:t>
            </w:r>
            <w:r>
              <w:rPr>
                <w:spacing w:val="-3"/>
                <w:sz w:val="28"/>
              </w:rPr>
              <w:t>forms; conventional forms; formal </w:t>
            </w:r>
            <w:r>
              <w:rPr>
                <w:i/>
                <w:spacing w:val="-3"/>
                <w:sz w:val="28"/>
              </w:rPr>
              <w:t>relatio</w:t>
            </w:r>
            <w:r>
              <w:rPr>
                <w:spacing w:val="-3"/>
                <w:sz w:val="28"/>
              </w:rPr>
              <w:t>). Accidental elements </w:t>
            </w:r>
            <w:r>
              <w:rPr>
                <w:spacing w:val="-4"/>
                <w:sz w:val="28"/>
              </w:rPr>
              <w:t>(condition, </w:t>
            </w:r>
            <w:r>
              <w:rPr>
                <w:spacing w:val="-3"/>
                <w:sz w:val="28"/>
              </w:rPr>
              <w:t>term </w:t>
            </w:r>
            <w:r>
              <w:rPr>
                <w:sz w:val="28"/>
              </w:rPr>
              <w:t>and </w:t>
            </w:r>
            <w:r>
              <w:rPr>
                <w:spacing w:val="-3"/>
                <w:sz w:val="28"/>
              </w:rPr>
              <w:t>burden); presupposition. Interpretation </w:t>
            </w:r>
            <w:r>
              <w:rPr>
                <w:sz w:val="28"/>
              </w:rPr>
              <w:t>of the </w:t>
            </w:r>
            <w:r>
              <w:rPr>
                <w:spacing w:val="-3"/>
                <w:sz w:val="28"/>
              </w:rPr>
              <w:t>contract and </w:t>
            </w:r>
            <w:r>
              <w:rPr>
                <w:spacing w:val="-4"/>
                <w:sz w:val="28"/>
              </w:rPr>
              <w:t>integration. Effects </w:t>
            </w:r>
            <w:r>
              <w:rPr>
                <w:sz w:val="28"/>
              </w:rPr>
              <w:t>of </w:t>
            </w:r>
            <w:r>
              <w:rPr>
                <w:spacing w:val="-3"/>
                <w:sz w:val="28"/>
              </w:rPr>
              <w:t>the contract </w:t>
            </w:r>
            <w:r>
              <w:rPr>
                <w:spacing w:val="-4"/>
                <w:sz w:val="28"/>
              </w:rPr>
              <w:t>(principle </w:t>
            </w:r>
            <w:r>
              <w:rPr>
                <w:sz w:val="28"/>
              </w:rPr>
              <w:t>of </w:t>
            </w:r>
            <w:r>
              <w:rPr>
                <w:spacing w:val="-3"/>
                <w:sz w:val="28"/>
              </w:rPr>
              <w:t>relativity; </w:t>
            </w:r>
            <w:r>
              <w:rPr>
                <w:spacing w:val="-4"/>
                <w:sz w:val="28"/>
              </w:rPr>
              <w:t>contract </w:t>
            </w:r>
            <w:r>
              <w:rPr>
                <w:sz w:val="28"/>
              </w:rPr>
              <w:t>in </w:t>
            </w:r>
            <w:r>
              <w:rPr>
                <w:spacing w:val="-4"/>
                <w:sz w:val="28"/>
              </w:rPr>
              <w:t>favor </w:t>
            </w:r>
            <w:r>
              <w:rPr>
                <w:sz w:val="28"/>
              </w:rPr>
              <w:t>of</w:t>
              <w:tab/>
            </w:r>
            <w:r>
              <w:rPr>
                <w:spacing w:val="-3"/>
                <w:sz w:val="28"/>
              </w:rPr>
              <w:t>third</w:t>
              <w:tab/>
              <w:tab/>
            </w:r>
            <w:r>
              <w:rPr>
                <w:spacing w:val="-4"/>
                <w:sz w:val="28"/>
              </w:rPr>
              <w:t>parties;</w:t>
              <w:tab/>
            </w:r>
            <w:r>
              <w:rPr>
                <w:spacing w:val="-3"/>
                <w:sz w:val="28"/>
              </w:rPr>
              <w:t>withdrawal;</w:t>
              <w:tab/>
              <w:tab/>
              <w:t>real</w:t>
              <w:tab/>
              <w:tab/>
              <w:t>effects</w:t>
              <w:tab/>
            </w:r>
            <w:r>
              <w:rPr>
                <w:sz w:val="28"/>
              </w:rPr>
              <w:t>and</w:t>
              <w:tab/>
            </w:r>
            <w:r>
              <w:rPr>
                <w:spacing w:val="-3"/>
                <w:sz w:val="28"/>
              </w:rPr>
              <w:t>mandatory</w:t>
              <w:tab/>
              <w:t>effects; conventional prohibition </w:t>
            </w:r>
            <w:r>
              <w:rPr>
                <w:sz w:val="28"/>
              </w:rPr>
              <w:t>of </w:t>
            </w:r>
            <w:r>
              <w:rPr>
                <w:spacing w:val="-4"/>
                <w:sz w:val="28"/>
              </w:rPr>
              <w:t>alienation; </w:t>
            </w:r>
            <w:r>
              <w:rPr>
                <w:spacing w:val="-3"/>
                <w:sz w:val="28"/>
              </w:rPr>
              <w:t>conflict </w:t>
            </w:r>
            <w:r>
              <w:rPr>
                <w:sz w:val="28"/>
              </w:rPr>
              <w:t>of </w:t>
            </w:r>
            <w:r>
              <w:rPr>
                <w:spacing w:val="-3"/>
                <w:sz w:val="28"/>
              </w:rPr>
              <w:t>rights; promise </w:t>
            </w:r>
            <w:r>
              <w:rPr>
                <w:sz w:val="28"/>
              </w:rPr>
              <w:t>of </w:t>
            </w:r>
            <w:r>
              <w:rPr>
                <w:spacing w:val="-3"/>
                <w:sz w:val="28"/>
              </w:rPr>
              <w:t>the fact </w:t>
            </w:r>
            <w:r>
              <w:rPr>
                <w:sz w:val="28"/>
              </w:rPr>
              <w:t>of the </w:t>
            </w:r>
            <w:r>
              <w:rPr>
                <w:spacing w:val="-3"/>
                <w:sz w:val="28"/>
              </w:rPr>
              <w:t>third </w:t>
            </w:r>
            <w:r>
              <w:rPr>
                <w:spacing w:val="-4"/>
                <w:sz w:val="28"/>
              </w:rPr>
              <w:t>party). </w:t>
            </w:r>
            <w:r>
              <w:rPr>
                <w:spacing w:val="-3"/>
                <w:sz w:val="28"/>
              </w:rPr>
              <w:t>Invalidity and ineffectiveness (non-existence; </w:t>
            </w:r>
            <w:r>
              <w:rPr>
                <w:spacing w:val="-4"/>
                <w:sz w:val="28"/>
              </w:rPr>
              <w:t>nullity </w:t>
            </w:r>
            <w:r>
              <w:rPr>
                <w:sz w:val="28"/>
              </w:rPr>
              <w:t>of </w:t>
            </w:r>
            <w:r>
              <w:rPr>
                <w:spacing w:val="-3"/>
                <w:sz w:val="28"/>
              </w:rPr>
              <w:t>the legal </w:t>
            </w:r>
            <w:r>
              <w:rPr>
                <w:spacing w:val="-4"/>
                <w:sz w:val="28"/>
              </w:rPr>
              <w:t>transaction </w:t>
            </w:r>
            <w:r>
              <w:rPr>
                <w:spacing w:val="-3"/>
                <w:sz w:val="28"/>
              </w:rPr>
              <w:t>and immoral </w:t>
            </w:r>
            <w:r>
              <w:rPr>
                <w:spacing w:val="-4"/>
                <w:sz w:val="28"/>
              </w:rPr>
              <w:t>negotiation; </w:t>
            </w:r>
            <w:r>
              <w:rPr>
                <w:spacing w:val="-3"/>
                <w:sz w:val="28"/>
              </w:rPr>
              <w:t>annulment </w:t>
            </w:r>
            <w:r>
              <w:rPr>
                <w:sz w:val="28"/>
              </w:rPr>
              <w:t>of </w:t>
            </w:r>
            <w:r>
              <w:rPr>
                <w:spacing w:val="-3"/>
                <w:sz w:val="28"/>
              </w:rPr>
              <w:t>the legal transaction </w:t>
            </w:r>
            <w:r>
              <w:rPr>
                <w:sz w:val="28"/>
              </w:rPr>
              <w:t>(in </w:t>
            </w:r>
            <w:r>
              <w:rPr>
                <w:spacing w:val="-4"/>
                <w:sz w:val="28"/>
              </w:rPr>
              <w:t>particular:  </w:t>
            </w:r>
            <w:r>
              <w:rPr>
                <w:spacing w:val="-3"/>
                <w:sz w:val="28"/>
              </w:rPr>
              <w:t>incapacity and vices </w:t>
            </w:r>
            <w:r>
              <w:rPr>
                <w:sz w:val="28"/>
              </w:rPr>
              <w:t>of </w:t>
            </w:r>
            <w:r>
              <w:rPr>
                <w:spacing w:val="-3"/>
                <w:sz w:val="28"/>
              </w:rPr>
              <w:t>will); </w:t>
            </w:r>
            <w:r>
              <w:rPr>
                <w:spacing w:val="-4"/>
                <w:sz w:val="28"/>
              </w:rPr>
              <w:t>action  </w:t>
            </w:r>
            <w:r>
              <w:rPr>
                <w:spacing w:val="-3"/>
                <w:sz w:val="28"/>
              </w:rPr>
              <w:t>for annulment). Termination </w:t>
            </w:r>
            <w:r>
              <w:rPr>
                <w:sz w:val="28"/>
              </w:rPr>
              <w:t>of the </w:t>
            </w:r>
            <w:r>
              <w:rPr>
                <w:spacing w:val="-4"/>
                <w:sz w:val="28"/>
              </w:rPr>
              <w:t>contract. </w:t>
            </w:r>
            <w:r>
              <w:rPr>
                <w:spacing w:val="-3"/>
                <w:sz w:val="28"/>
              </w:rPr>
              <w:t>Termination </w:t>
            </w:r>
            <w:r>
              <w:rPr>
                <w:sz w:val="28"/>
              </w:rPr>
              <w:t>of the </w:t>
            </w:r>
            <w:r>
              <w:rPr>
                <w:spacing w:val="-3"/>
                <w:sz w:val="28"/>
              </w:rPr>
              <w:t>contract (termination due </w:t>
            </w:r>
            <w:r>
              <w:rPr>
                <w:sz w:val="28"/>
              </w:rPr>
              <w:t>to </w:t>
            </w:r>
            <w:r>
              <w:rPr>
                <w:spacing w:val="-3"/>
                <w:sz w:val="28"/>
              </w:rPr>
              <w:t>non-fulfillment; </w:t>
            </w:r>
            <w:r>
              <w:rPr>
                <w:spacing w:val="-4"/>
                <w:sz w:val="28"/>
              </w:rPr>
              <w:t>termination </w:t>
            </w:r>
            <w:r>
              <w:rPr>
                <w:sz w:val="28"/>
              </w:rPr>
              <w:t>by </w:t>
            </w:r>
            <w:r>
              <w:rPr>
                <w:spacing w:val="-3"/>
                <w:sz w:val="28"/>
              </w:rPr>
              <w:t>law; contractual self- </w:t>
            </w:r>
            <w:r>
              <w:rPr>
                <w:spacing w:val="-4"/>
                <w:sz w:val="28"/>
              </w:rPr>
              <w:t>defense; </w:t>
            </w:r>
            <w:r>
              <w:rPr>
                <w:spacing w:val="-3"/>
                <w:sz w:val="28"/>
              </w:rPr>
              <w:t>termination </w:t>
            </w:r>
            <w:r>
              <w:rPr>
                <w:sz w:val="28"/>
              </w:rPr>
              <w:t>due to </w:t>
            </w:r>
            <w:r>
              <w:rPr>
                <w:spacing w:val="-3"/>
                <w:sz w:val="28"/>
              </w:rPr>
              <w:t>supervening </w:t>
            </w:r>
            <w:r>
              <w:rPr>
                <w:spacing w:val="-4"/>
                <w:sz w:val="28"/>
              </w:rPr>
              <w:t>impossibility; </w:t>
            </w:r>
            <w:r>
              <w:rPr>
                <w:spacing w:val="-3"/>
                <w:sz w:val="28"/>
              </w:rPr>
              <w:t>termination </w:t>
            </w:r>
            <w:r>
              <w:rPr>
                <w:sz w:val="28"/>
              </w:rPr>
              <w:t>due </w:t>
            </w:r>
            <w:r>
              <w:rPr>
                <w:spacing w:val="-3"/>
                <w:sz w:val="28"/>
              </w:rPr>
              <w:t>to excessive </w:t>
            </w:r>
            <w:r>
              <w:rPr>
                <w:spacing w:val="-4"/>
                <w:sz w:val="28"/>
              </w:rPr>
              <w:t>burdens</w:t>
            </w:r>
            <w:r>
              <w:rPr>
                <w:spacing w:val="62"/>
                <w:sz w:val="28"/>
              </w:rPr>
              <w:t> </w:t>
            </w:r>
            <w:r>
              <w:rPr>
                <w:spacing w:val="-4"/>
                <w:sz w:val="28"/>
              </w:rPr>
              <w:t>occurring).</w:t>
            </w:r>
            <w:r>
              <w:rPr>
                <w:spacing w:val="62"/>
                <w:sz w:val="28"/>
              </w:rPr>
              <w:t> </w:t>
            </w:r>
            <w:r>
              <w:rPr>
                <w:spacing w:val="-3"/>
                <w:sz w:val="28"/>
              </w:rPr>
              <w:t>Penalty clause and </w:t>
            </w:r>
            <w:r>
              <w:rPr>
                <w:spacing w:val="-4"/>
                <w:sz w:val="28"/>
              </w:rPr>
              <w:t>deposit.</w:t>
            </w:r>
            <w:r>
              <w:rPr>
                <w:spacing w:val="62"/>
                <w:sz w:val="28"/>
              </w:rPr>
              <w:t> </w:t>
            </w:r>
            <w:r>
              <w:rPr>
                <w:spacing w:val="-4"/>
                <w:sz w:val="28"/>
              </w:rPr>
              <w:t>Consumer </w:t>
            </w:r>
            <w:r>
              <w:rPr>
                <w:spacing w:val="-3"/>
                <w:sz w:val="28"/>
              </w:rPr>
              <w:t>contracts.</w:t>
              <w:tab/>
              <w:tab/>
              <w:tab/>
              <w:t>Transfer</w:t>
              <w:tab/>
              <w:tab/>
            </w:r>
            <w:r>
              <w:rPr>
                <w:sz w:val="28"/>
              </w:rPr>
              <w:t>of</w:t>
              <w:tab/>
              <w:t>the</w:t>
              <w:tab/>
              <w:tab/>
            </w:r>
            <w:r>
              <w:rPr>
                <w:spacing w:val="-3"/>
                <w:sz w:val="28"/>
              </w:rPr>
              <w:t>contract.</w:t>
              <w:tab/>
              <w:t>Advertising</w:t>
              <w:tab/>
              <w:tab/>
              <w:t>and</w:t>
              <w:tab/>
            </w:r>
            <w:r>
              <w:rPr>
                <w:spacing w:val="-4"/>
                <w:sz w:val="28"/>
              </w:rPr>
              <w:t>transcription. Obligations </w:t>
            </w:r>
            <w:r>
              <w:rPr>
                <w:spacing w:val="-3"/>
                <w:sz w:val="28"/>
              </w:rPr>
              <w:t>(general notions: structure and characteristics; </w:t>
            </w:r>
            <w:r>
              <w:rPr>
                <w:spacing w:val="-4"/>
                <w:sz w:val="28"/>
              </w:rPr>
              <w:t>natural </w:t>
            </w:r>
            <w:r>
              <w:rPr>
                <w:spacing w:val="-3"/>
                <w:sz w:val="28"/>
              </w:rPr>
              <w:t>and civil </w:t>
            </w:r>
            <w:r>
              <w:rPr>
                <w:spacing w:val="-4"/>
                <w:sz w:val="28"/>
              </w:rPr>
              <w:t>obligations; </w:t>
            </w:r>
            <w:r>
              <w:rPr>
                <w:spacing w:val="-3"/>
                <w:sz w:val="28"/>
              </w:rPr>
              <w:t>events </w:t>
            </w:r>
            <w:r>
              <w:rPr>
                <w:sz w:val="28"/>
              </w:rPr>
              <w:t>of the </w:t>
            </w:r>
            <w:r>
              <w:rPr>
                <w:spacing w:val="-4"/>
                <w:sz w:val="28"/>
              </w:rPr>
              <w:t>obligatory relationship: </w:t>
            </w:r>
            <w:r>
              <w:rPr>
                <w:spacing w:val="-3"/>
                <w:sz w:val="28"/>
              </w:rPr>
              <w:t>sources, subjective and </w:t>
            </w:r>
            <w:r>
              <w:rPr>
                <w:spacing w:val="-4"/>
                <w:sz w:val="28"/>
              </w:rPr>
              <w:t>objective </w:t>
            </w:r>
            <w:r>
              <w:rPr>
                <w:spacing w:val="-3"/>
                <w:sz w:val="28"/>
              </w:rPr>
              <w:t>changes, extinction (fulfillment </w:t>
            </w:r>
            <w:r>
              <w:rPr>
                <w:sz w:val="28"/>
              </w:rPr>
              <w:t>and </w:t>
            </w:r>
            <w:r>
              <w:rPr>
                <w:spacing w:val="-3"/>
                <w:sz w:val="28"/>
              </w:rPr>
              <w:t>ways </w:t>
            </w:r>
            <w:r>
              <w:rPr>
                <w:sz w:val="28"/>
              </w:rPr>
              <w:t>of </w:t>
            </w:r>
            <w:r>
              <w:rPr>
                <w:spacing w:val="-3"/>
                <w:sz w:val="28"/>
              </w:rPr>
              <w:t>extinction other than fulfillment); </w:t>
            </w:r>
            <w:r>
              <w:rPr>
                <w:spacing w:val="-4"/>
                <w:sz w:val="28"/>
              </w:rPr>
              <w:t>breach </w:t>
            </w:r>
            <w:r>
              <w:rPr>
                <w:spacing w:val="-3"/>
                <w:sz w:val="28"/>
              </w:rPr>
              <w:t>and default </w:t>
            </w:r>
            <w:r>
              <w:rPr>
                <w:sz w:val="28"/>
              </w:rPr>
              <w:t>of the </w:t>
            </w:r>
            <w:r>
              <w:rPr>
                <w:spacing w:val="-3"/>
                <w:sz w:val="28"/>
              </w:rPr>
              <w:t>debtor; default </w:t>
            </w:r>
            <w:r>
              <w:rPr>
                <w:sz w:val="28"/>
              </w:rPr>
              <w:t>of the </w:t>
            </w:r>
            <w:r>
              <w:rPr>
                <w:spacing w:val="-3"/>
                <w:sz w:val="28"/>
              </w:rPr>
              <w:t>creditor; kind </w:t>
            </w:r>
            <w:r>
              <w:rPr>
                <w:sz w:val="28"/>
              </w:rPr>
              <w:t>of </w:t>
            </w:r>
            <w:r>
              <w:rPr>
                <w:spacing w:val="-3"/>
                <w:sz w:val="28"/>
              </w:rPr>
              <w:t>obligations (pecuniary, </w:t>
            </w:r>
            <w:r>
              <w:rPr>
                <w:spacing w:val="-4"/>
                <w:sz w:val="28"/>
              </w:rPr>
              <w:t>alternative, joint </w:t>
            </w:r>
            <w:r>
              <w:rPr>
                <w:spacing w:val="-3"/>
                <w:sz w:val="28"/>
              </w:rPr>
              <w:t>and indivisible </w:t>
            </w:r>
            <w:r>
              <w:rPr>
                <w:spacing w:val="-4"/>
                <w:sz w:val="28"/>
              </w:rPr>
              <w:t>obligations); </w:t>
            </w:r>
            <w:r>
              <w:rPr>
                <w:spacing w:val="-3"/>
                <w:sz w:val="28"/>
              </w:rPr>
              <w:t>patrimonial </w:t>
            </w:r>
            <w:r>
              <w:rPr>
                <w:spacing w:val="-4"/>
                <w:sz w:val="28"/>
              </w:rPr>
              <w:t>responsibility;</w:t>
            </w:r>
            <w:r>
              <w:rPr>
                <w:spacing w:val="62"/>
                <w:sz w:val="28"/>
              </w:rPr>
              <w:t> </w:t>
            </w:r>
            <w:r>
              <w:rPr>
                <w:spacing w:val="-3"/>
                <w:sz w:val="28"/>
              </w:rPr>
              <w:t>legitimate causes </w:t>
            </w:r>
            <w:r>
              <w:rPr>
                <w:sz w:val="28"/>
              </w:rPr>
              <w:t>of </w:t>
            </w:r>
            <w:r>
              <w:rPr>
                <w:spacing w:val="-4"/>
                <w:sz w:val="28"/>
              </w:rPr>
              <w:t>pre-emption</w:t>
            </w:r>
            <w:r>
              <w:rPr>
                <w:spacing w:val="62"/>
                <w:sz w:val="28"/>
              </w:rPr>
              <w:t> </w:t>
            </w:r>
            <w:r>
              <w:rPr>
                <w:spacing w:val="-4"/>
                <w:sz w:val="28"/>
              </w:rPr>
              <w:t>(privileges, </w:t>
            </w:r>
            <w:r>
              <w:rPr>
                <w:spacing w:val="-3"/>
                <w:sz w:val="28"/>
              </w:rPr>
              <w:t>pledge </w:t>
            </w:r>
            <w:r>
              <w:rPr>
                <w:sz w:val="28"/>
              </w:rPr>
              <w:t>and </w:t>
            </w:r>
            <w:r>
              <w:rPr>
                <w:spacing w:val="-3"/>
                <w:sz w:val="28"/>
              </w:rPr>
              <w:t>mortgage) </w:t>
            </w:r>
            <w:r>
              <w:rPr>
                <w:sz w:val="28"/>
              </w:rPr>
              <w:t>and the </w:t>
            </w:r>
            <w:r>
              <w:rPr>
                <w:spacing w:val="-3"/>
                <w:sz w:val="28"/>
              </w:rPr>
              <w:t>prohibition </w:t>
            </w:r>
            <w:r>
              <w:rPr>
                <w:sz w:val="28"/>
              </w:rPr>
              <w:t>of the </w:t>
            </w:r>
            <w:r>
              <w:rPr>
                <w:spacing w:val="-3"/>
                <w:sz w:val="28"/>
              </w:rPr>
              <w:t>commission agreement; </w:t>
            </w:r>
            <w:r>
              <w:rPr>
                <w:sz w:val="28"/>
              </w:rPr>
              <w:t>the means of conservation of the asset guarantee; forced execution. Individual</w:t>
              <w:tab/>
              <w:tab/>
              <w:tab/>
              <w:t>contracts</w:t>
              <w:tab/>
              <w:tab/>
              <w:t>(sale;</w:t>
              <w:tab/>
              <w:t>exchange;</w:t>
              <w:tab/>
              <w:t>lease</w:t>
              <w:tab/>
              <w:tab/>
              <w:t>and</w:t>
              <w:tab/>
              <w:t>rent;</w:t>
              <w:tab/>
              <w:t>procurement contract, transport contract; mandate; deposit; loan; mortgage; game and bet; surety; transaction; transfer of assets to creditors; work contract; autonomous guarantee contract). Unilateral acts and promises (unilateral receptive</w:t>
              <w:tab/>
              <w:tab/>
              <w:t>and</w:t>
              <w:tab/>
              <w:t>non-receptive</w:t>
              <w:tab/>
              <w:tab/>
              <w:t>acts;</w:t>
              <w:tab/>
              <w:t>unilateral</w:t>
              <w:tab/>
              <w:tab/>
              <w:tab/>
              <w:t>promises:</w:t>
              <w:tab/>
              <w:tab/>
              <w:t>promise</w:t>
              <w:tab/>
              <w:t>of payment, recognition of debt, promise to the public). The management of other people’s affairs. The undue payment. Uncaused enrichment.  The unlawful facts (foundations of civil liability and “harmful lawful acts”); contractual and extra-contractual liability, constituent elements of the civil offense (the fact, the psychological element, the unjust damage, causality); exemptions from liability; imputability and guilt; the special cases of non-contractual liability regulated in the civil code; the main cases</w:t>
              <w:tab/>
              <w:t>of</w:t>
              <w:tab/>
              <w:tab/>
              <w:tab/>
              <w:t>aquilian liability regulated in other sources (producer responsibility, environmental damage); biological damage;</w:t>
            </w:r>
            <w:r>
              <w:rPr>
                <w:spacing w:val="34"/>
                <w:sz w:val="28"/>
              </w:rPr>
              <w:t> </w:t>
            </w:r>
            <w:r>
              <w:rPr>
                <w:sz w:val="28"/>
              </w:rPr>
              <w:t>non-pecuniary</w:t>
            </w:r>
          </w:p>
          <w:p>
            <w:pPr>
              <w:pStyle w:val="TableParagraph"/>
              <w:spacing w:line="295" w:lineRule="exact"/>
              <w:ind w:left="213"/>
              <w:rPr>
                <w:sz w:val="28"/>
              </w:rPr>
            </w:pPr>
            <w:r>
              <w:rPr>
                <w:sz w:val="28"/>
              </w:rPr>
              <w:t>damage.</w:t>
            </w:r>
          </w:p>
        </w:tc>
      </w:tr>
      <w:tr>
        <w:trPr>
          <w:trHeight w:val="1290" w:hRule="atLeast"/>
        </w:trPr>
        <w:tc>
          <w:tcPr>
            <w:tcW w:w="2324" w:type="dxa"/>
          </w:tcPr>
          <w:p>
            <w:pPr>
              <w:pStyle w:val="TableParagraph"/>
              <w:ind w:left="231" w:right="219" w:hanging="2"/>
              <w:jc w:val="center"/>
              <w:rPr>
                <w:rFonts w:ascii="Bookman Old Style"/>
                <w:b/>
                <w:sz w:val="22"/>
              </w:rPr>
            </w:pPr>
            <w:r>
              <w:rPr>
                <w:rFonts w:ascii="Bookman Old Style"/>
                <w:b/>
                <w:sz w:val="22"/>
              </w:rPr>
              <w:t>Estimate of the commitment required for individual study</w:t>
            </w:r>
          </w:p>
          <w:p>
            <w:pPr>
              <w:pStyle w:val="TableParagraph"/>
              <w:spacing w:line="238" w:lineRule="exact"/>
              <w:ind w:left="106" w:right="100"/>
              <w:jc w:val="center"/>
              <w:rPr>
                <w:rFonts w:ascii="Bookman Old Style"/>
                <w:b/>
                <w:sz w:val="22"/>
              </w:rPr>
            </w:pPr>
            <w:r>
              <w:rPr>
                <w:rFonts w:ascii="Bookman Old Style"/>
                <w:b/>
                <w:sz w:val="22"/>
              </w:rPr>
              <w:t>in terms of hours</w:t>
            </w:r>
          </w:p>
        </w:tc>
        <w:tc>
          <w:tcPr>
            <w:tcW w:w="8458" w:type="dxa"/>
          </w:tcPr>
          <w:p>
            <w:pPr>
              <w:pStyle w:val="TableParagraph"/>
              <w:ind w:left="108"/>
              <w:rPr>
                <w:rFonts w:ascii="Bookman Old Style"/>
                <w:b w:val="0"/>
                <w:sz w:val="22"/>
              </w:rPr>
            </w:pPr>
            <w:r>
              <w:rPr>
                <w:rFonts w:ascii="Bookman Old Style"/>
                <w:b w:val="0"/>
                <w:sz w:val="22"/>
              </w:rPr>
              <w:t>300 hours.</w:t>
            </w:r>
          </w:p>
        </w:tc>
      </w:tr>
      <w:tr>
        <w:trPr>
          <w:trHeight w:val="516" w:hRule="atLeast"/>
        </w:trPr>
        <w:tc>
          <w:tcPr>
            <w:tcW w:w="2324" w:type="dxa"/>
          </w:tcPr>
          <w:p>
            <w:pPr>
              <w:pStyle w:val="TableParagraph"/>
              <w:ind w:left="107"/>
              <w:rPr>
                <w:rFonts w:ascii="Bookman Old Style"/>
                <w:b/>
                <w:sz w:val="22"/>
              </w:rPr>
            </w:pPr>
            <w:r>
              <w:rPr>
                <w:rFonts w:ascii="Bookman Old Style"/>
                <w:b/>
                <w:sz w:val="22"/>
              </w:rPr>
              <w:t>Teaching methods</w:t>
            </w:r>
          </w:p>
        </w:tc>
        <w:tc>
          <w:tcPr>
            <w:tcW w:w="8458" w:type="dxa"/>
          </w:tcPr>
          <w:p>
            <w:pPr>
              <w:pStyle w:val="TableParagraph"/>
              <w:spacing w:line="260" w:lineRule="exact"/>
              <w:ind w:left="108" w:right="484"/>
              <w:rPr>
                <w:rFonts w:ascii="Bookman Old Style"/>
                <w:b w:val="0"/>
                <w:sz w:val="22"/>
              </w:rPr>
            </w:pPr>
            <w:r>
              <w:rPr>
                <w:rFonts w:ascii="Bookman Old Style"/>
                <w:b w:val="0"/>
                <w:sz w:val="22"/>
              </w:rPr>
              <w:t>The course will take place through lectures and seminars with the use of slides.</w:t>
            </w:r>
          </w:p>
        </w:tc>
      </w:tr>
      <w:tr>
        <w:trPr>
          <w:trHeight w:val="548" w:hRule="atLeast"/>
        </w:trPr>
        <w:tc>
          <w:tcPr>
            <w:tcW w:w="2324" w:type="dxa"/>
          </w:tcPr>
          <w:p>
            <w:pPr>
              <w:pStyle w:val="TableParagraph"/>
              <w:ind w:left="614" w:right="117" w:firstLine="46"/>
              <w:rPr>
                <w:rFonts w:ascii="Bookman Old Style"/>
                <w:b/>
                <w:sz w:val="22"/>
              </w:rPr>
            </w:pPr>
            <w:r>
              <w:rPr>
                <w:rFonts w:ascii="Bookman Old Style"/>
                <w:b/>
                <w:sz w:val="22"/>
              </w:rPr>
              <w:t>Learning </w:t>
            </w:r>
            <w:r>
              <w:rPr>
                <w:rFonts w:ascii="Bookman Old Style"/>
                <w:b/>
                <w:w w:val="95"/>
                <w:sz w:val="22"/>
              </w:rPr>
              <w:t>resources</w:t>
            </w:r>
          </w:p>
        </w:tc>
        <w:tc>
          <w:tcPr>
            <w:tcW w:w="8458" w:type="dxa"/>
          </w:tcPr>
          <w:p>
            <w:pPr>
              <w:pStyle w:val="TableParagraph"/>
              <w:spacing w:line="269" w:lineRule="exact"/>
              <w:ind w:left="108"/>
              <w:rPr>
                <w:rFonts w:ascii="Times New Roman" w:hAnsi="Times New Roman"/>
                <w:sz w:val="24"/>
              </w:rPr>
            </w:pPr>
            <w:r>
              <w:rPr>
                <w:rFonts w:ascii="Times New Roman" w:hAnsi="Times New Roman"/>
                <w:sz w:val="24"/>
              </w:rPr>
              <w:t>It’s recommend the use of one of the following manuals, alternatively, in relation to</w:t>
            </w:r>
          </w:p>
          <w:p>
            <w:pPr>
              <w:pStyle w:val="TableParagraph"/>
              <w:spacing w:line="259" w:lineRule="exact"/>
              <w:ind w:left="108"/>
              <w:rPr>
                <w:rFonts w:ascii="Times New Roman"/>
                <w:sz w:val="24"/>
              </w:rPr>
            </w:pPr>
            <w:r>
              <w:rPr>
                <w:rFonts w:ascii="Times New Roman"/>
                <w:sz w:val="24"/>
              </w:rPr>
              <w:t>the parts indicated in the program:</w:t>
            </w:r>
          </w:p>
        </w:tc>
      </w:tr>
    </w:tbl>
    <w:p>
      <w:pPr>
        <w:spacing w:after="0" w:line="259" w:lineRule="exact"/>
        <w:rPr>
          <w:rFonts w:ascii="Times New Roman"/>
          <w:sz w:val="24"/>
        </w:rPr>
        <w:sectPr>
          <w:pgSz w:w="11910" w:h="16840"/>
          <w:pgMar w:top="1360" w:bottom="280" w:left="320" w:right="56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4"/>
        <w:gridCol w:w="8458"/>
      </w:tblGrid>
      <w:tr>
        <w:trPr>
          <w:trHeight w:val="3740" w:hRule="atLeast"/>
        </w:trPr>
        <w:tc>
          <w:tcPr>
            <w:tcW w:w="2324" w:type="dxa"/>
          </w:tcPr>
          <w:p>
            <w:pPr>
              <w:pStyle w:val="TableParagraph"/>
              <w:spacing w:before="1"/>
              <w:ind w:left="119" w:right="107" w:firstLine="1"/>
              <w:jc w:val="center"/>
              <w:rPr>
                <w:rFonts w:ascii="Bookman Old Style"/>
                <w:b/>
                <w:sz w:val="22"/>
              </w:rPr>
            </w:pPr>
            <w:r>
              <w:rPr>
                <w:rFonts w:ascii="Bookman Old Style"/>
                <w:b/>
                <w:sz w:val="22"/>
              </w:rPr>
              <w:t>(recommended textbooks, further recommended reading, other didactic material)</w:t>
            </w:r>
          </w:p>
        </w:tc>
        <w:tc>
          <w:tcPr>
            <w:tcW w:w="8458" w:type="dxa"/>
          </w:tcPr>
          <w:p>
            <w:pPr>
              <w:pStyle w:val="TableParagraph"/>
              <w:spacing w:line="256" w:lineRule="exact"/>
              <w:ind w:left="108"/>
              <w:rPr>
                <w:rFonts w:ascii="Times New Roman"/>
                <w:sz w:val="24"/>
              </w:rPr>
            </w:pPr>
            <w:r>
              <w:rPr>
                <w:rFonts w:ascii="Times New Roman"/>
                <w:sz w:val="24"/>
              </w:rPr>
              <w:t>E. GABRIELLI (a cura di), </w:t>
            </w:r>
            <w:r>
              <w:rPr>
                <w:rFonts w:ascii="Times New Roman"/>
                <w:i/>
                <w:sz w:val="24"/>
              </w:rPr>
              <w:t>Diritto privato</w:t>
            </w:r>
            <w:r>
              <w:rPr>
                <w:rFonts w:ascii="Times New Roman"/>
                <w:sz w:val="24"/>
              </w:rPr>
              <w:t>,Turin, Giappichelli, last. ed.;</w:t>
            </w:r>
          </w:p>
          <w:p>
            <w:pPr>
              <w:pStyle w:val="TableParagraph"/>
              <w:spacing w:line="240" w:lineRule="exact"/>
              <w:ind w:left="108"/>
              <w:rPr>
                <w:rFonts w:ascii="Times New Roman"/>
                <w:sz w:val="24"/>
              </w:rPr>
            </w:pPr>
            <w:r>
              <w:rPr>
                <w:rFonts w:ascii="Times New Roman"/>
                <w:sz w:val="24"/>
              </w:rPr>
              <w:t>P. PERLINGIERI (a cura di), </w:t>
            </w:r>
            <w:r>
              <w:rPr>
                <w:rFonts w:ascii="Times New Roman"/>
                <w:i/>
                <w:sz w:val="24"/>
              </w:rPr>
              <w:t>Manuale di diritto civile</w:t>
            </w:r>
            <w:r>
              <w:rPr>
                <w:rFonts w:ascii="Times New Roman"/>
                <w:sz w:val="24"/>
              </w:rPr>
              <w:t>, Naples, E.S.I., last. ed.;</w:t>
            </w:r>
          </w:p>
          <w:p>
            <w:pPr>
              <w:pStyle w:val="TableParagraph"/>
              <w:spacing w:line="208" w:lineRule="auto" w:before="11"/>
              <w:ind w:left="108"/>
              <w:rPr>
                <w:rFonts w:ascii="Times New Roman" w:hAnsi="Times New Roman"/>
                <w:sz w:val="24"/>
              </w:rPr>
            </w:pPr>
            <w:r>
              <w:rPr>
                <w:rFonts w:ascii="Times New Roman" w:hAnsi="Times New Roman"/>
                <w:sz w:val="24"/>
              </w:rPr>
              <w:t>A. TORRENTE – P. SCHLESINGER, </w:t>
            </w:r>
            <w:r>
              <w:rPr>
                <w:rFonts w:ascii="Times New Roman" w:hAnsi="Times New Roman"/>
                <w:i/>
                <w:sz w:val="24"/>
              </w:rPr>
              <w:t>Manuale di diritto privato</w:t>
            </w:r>
            <w:r>
              <w:rPr>
                <w:rFonts w:ascii="Times New Roman" w:hAnsi="Times New Roman"/>
                <w:sz w:val="24"/>
              </w:rPr>
              <w:t>, F. Anelli and C. Granelli (eds.), Milan, Giuffrè, last ed.;</w:t>
            </w:r>
          </w:p>
          <w:p>
            <w:pPr>
              <w:pStyle w:val="TableParagraph"/>
              <w:spacing w:line="229" w:lineRule="exact"/>
              <w:ind w:left="108"/>
              <w:rPr>
                <w:rFonts w:ascii="Times New Roman"/>
                <w:sz w:val="24"/>
              </w:rPr>
            </w:pPr>
            <w:r>
              <w:rPr>
                <w:rFonts w:ascii="Times New Roman"/>
                <w:sz w:val="24"/>
              </w:rPr>
              <w:t>A. TRABUCCHI, </w:t>
            </w:r>
            <w:r>
              <w:rPr>
                <w:rFonts w:ascii="Times New Roman"/>
                <w:i/>
                <w:sz w:val="24"/>
              </w:rPr>
              <w:t>Istituzioni di diritto civile</w:t>
            </w:r>
            <w:r>
              <w:rPr>
                <w:rFonts w:ascii="Times New Roman"/>
                <w:sz w:val="24"/>
              </w:rPr>
              <w:t>, G. Trabucchi (ed.), Padua Cedam, last.</w:t>
            </w:r>
          </w:p>
          <w:p>
            <w:pPr>
              <w:pStyle w:val="TableParagraph"/>
              <w:spacing w:line="240" w:lineRule="exact"/>
              <w:ind w:left="108"/>
              <w:rPr>
                <w:rFonts w:ascii="Times New Roman"/>
                <w:sz w:val="24"/>
              </w:rPr>
            </w:pPr>
            <w:r>
              <w:rPr>
                <w:rFonts w:ascii="Times New Roman"/>
                <w:sz w:val="24"/>
              </w:rPr>
              <w:t>ed.;</w:t>
            </w:r>
          </w:p>
          <w:p>
            <w:pPr>
              <w:pStyle w:val="TableParagraph"/>
              <w:spacing w:line="204" w:lineRule="auto" w:before="15"/>
              <w:ind w:left="108" w:right="202"/>
              <w:rPr>
                <w:rFonts w:ascii="Bookman Old Style"/>
                <w:b w:val="0"/>
                <w:sz w:val="22"/>
              </w:rPr>
            </w:pPr>
            <w:r>
              <w:rPr>
                <w:rFonts w:ascii="Times New Roman"/>
                <w:sz w:val="24"/>
              </w:rPr>
              <w:t>M. PARADISO, </w:t>
            </w:r>
            <w:r>
              <w:rPr>
                <w:rFonts w:ascii="Times New Roman"/>
                <w:i/>
                <w:sz w:val="24"/>
              </w:rPr>
              <w:t>Corso di istituzioni di diritto privato</w:t>
            </w:r>
            <w:r>
              <w:rPr>
                <w:rFonts w:ascii="Times New Roman"/>
                <w:sz w:val="24"/>
              </w:rPr>
              <w:t>, Turin, Giappichelli, last ed. </w:t>
            </w:r>
            <w:r>
              <w:rPr>
                <w:rFonts w:ascii="Bookman Old Style"/>
                <w:b w:val="0"/>
                <w:sz w:val="22"/>
              </w:rPr>
              <w:t>The study of private law institutions requires the consultation of an updated civil code text.</w:t>
            </w:r>
          </w:p>
        </w:tc>
      </w:tr>
      <w:tr>
        <w:trPr>
          <w:trHeight w:val="257" w:hRule="atLeast"/>
        </w:trPr>
        <w:tc>
          <w:tcPr>
            <w:tcW w:w="2324" w:type="dxa"/>
          </w:tcPr>
          <w:p>
            <w:pPr>
              <w:pStyle w:val="TableParagraph"/>
              <w:spacing w:line="238" w:lineRule="exact"/>
              <w:ind w:left="118"/>
              <w:rPr>
                <w:rFonts w:ascii="Bookman Old Style"/>
                <w:b/>
                <w:sz w:val="22"/>
              </w:rPr>
            </w:pPr>
            <w:r>
              <w:rPr>
                <w:rFonts w:ascii="Bookman Old Style"/>
                <w:b/>
                <w:sz w:val="22"/>
              </w:rPr>
              <w:t>Support Activities</w:t>
            </w:r>
          </w:p>
        </w:tc>
        <w:tc>
          <w:tcPr>
            <w:tcW w:w="8458" w:type="dxa"/>
          </w:tcPr>
          <w:p>
            <w:pPr>
              <w:pStyle w:val="TableParagraph"/>
              <w:spacing w:line="238" w:lineRule="exact"/>
              <w:ind w:left="108"/>
              <w:rPr>
                <w:rFonts w:ascii="Bookman Old Style"/>
                <w:b w:val="0"/>
                <w:sz w:val="22"/>
              </w:rPr>
            </w:pPr>
            <w:r>
              <w:rPr>
                <w:rFonts w:ascii="Bookman Old Style"/>
                <w:b w:val="0"/>
                <w:sz w:val="22"/>
              </w:rPr>
              <w:t>Reception activities and seminars.</w:t>
            </w:r>
          </w:p>
        </w:tc>
      </w:tr>
      <w:tr>
        <w:trPr>
          <w:trHeight w:val="1291" w:hRule="atLeast"/>
        </w:trPr>
        <w:tc>
          <w:tcPr>
            <w:tcW w:w="2324" w:type="dxa"/>
          </w:tcPr>
          <w:p>
            <w:pPr>
              <w:pStyle w:val="TableParagraph"/>
              <w:rPr>
                <w:rFonts w:ascii="Bookman Old Style"/>
                <w:b/>
                <w:sz w:val="22"/>
              </w:rPr>
            </w:pPr>
          </w:p>
          <w:p>
            <w:pPr>
              <w:pStyle w:val="TableParagraph"/>
              <w:spacing w:before="1"/>
              <w:ind w:left="506" w:right="485" w:firstLine="5"/>
              <w:rPr>
                <w:rFonts w:ascii="Bookman Old Style"/>
                <w:b/>
                <w:sz w:val="22"/>
              </w:rPr>
            </w:pPr>
            <w:r>
              <w:rPr>
                <w:rFonts w:ascii="Bookman Old Style"/>
                <w:b/>
                <w:sz w:val="22"/>
              </w:rPr>
              <w:t>Modality of </w:t>
            </w:r>
            <w:r>
              <w:rPr>
                <w:rFonts w:ascii="Bookman Old Style"/>
                <w:b/>
                <w:w w:val="95"/>
                <w:sz w:val="22"/>
              </w:rPr>
              <w:t>Attendance</w:t>
            </w:r>
          </w:p>
        </w:tc>
        <w:tc>
          <w:tcPr>
            <w:tcW w:w="8458" w:type="dxa"/>
          </w:tcPr>
          <w:p>
            <w:pPr>
              <w:pStyle w:val="TableParagraph"/>
              <w:spacing w:before="1"/>
              <w:ind w:left="108" w:right="831"/>
              <w:rPr>
                <w:rFonts w:ascii="Bookman Old Style"/>
                <w:b w:val="0"/>
                <w:sz w:val="22"/>
              </w:rPr>
            </w:pPr>
            <w:r>
              <w:rPr>
                <w:rFonts w:ascii="Bookman Old Style"/>
                <w:b w:val="0"/>
                <w:sz w:val="22"/>
              </w:rPr>
              <w:t>Attendance is not compulsory. Attending students will be able to take intermediate tests.</w:t>
            </w:r>
          </w:p>
        </w:tc>
      </w:tr>
      <w:tr>
        <w:trPr>
          <w:trHeight w:val="9618" w:hRule="atLeast"/>
        </w:trPr>
        <w:tc>
          <w:tcPr>
            <w:tcW w:w="2324" w:type="dxa"/>
          </w:tcPr>
          <w:p>
            <w:pPr>
              <w:pStyle w:val="TableParagraph"/>
              <w:rPr>
                <w:rFonts w:ascii="Bookman Old Style"/>
                <w:b/>
                <w:sz w:val="26"/>
              </w:rPr>
            </w:pPr>
          </w:p>
          <w:p>
            <w:pPr>
              <w:pStyle w:val="TableParagraph"/>
              <w:rPr>
                <w:rFonts w:ascii="Bookman Old Style"/>
                <w:b/>
                <w:sz w:val="26"/>
              </w:rPr>
            </w:pPr>
          </w:p>
          <w:p>
            <w:pPr>
              <w:pStyle w:val="TableParagraph"/>
              <w:rPr>
                <w:rFonts w:ascii="Bookman Old Style"/>
                <w:b/>
                <w:sz w:val="26"/>
              </w:rPr>
            </w:pPr>
          </w:p>
          <w:p>
            <w:pPr>
              <w:pStyle w:val="TableParagraph"/>
              <w:spacing w:before="11"/>
              <w:rPr>
                <w:rFonts w:ascii="Bookman Old Style"/>
                <w:b/>
                <w:sz w:val="31"/>
              </w:rPr>
            </w:pPr>
          </w:p>
          <w:p>
            <w:pPr>
              <w:pStyle w:val="TableParagraph"/>
              <w:ind w:left="344" w:right="333" w:hanging="1"/>
              <w:jc w:val="center"/>
              <w:rPr>
                <w:rFonts w:ascii="Bookman Old Style"/>
                <w:b/>
                <w:sz w:val="22"/>
              </w:rPr>
            </w:pPr>
            <w:r>
              <w:rPr>
                <w:rFonts w:ascii="Bookman Old Style"/>
                <w:b/>
                <w:sz w:val="22"/>
              </w:rPr>
              <w:t>Modality of Assessment of knowledge</w:t>
            </w:r>
          </w:p>
        </w:tc>
        <w:tc>
          <w:tcPr>
            <w:tcW w:w="8458" w:type="dxa"/>
          </w:tcPr>
          <w:p>
            <w:pPr>
              <w:pStyle w:val="TableParagraph"/>
              <w:rPr>
                <w:rFonts w:ascii="Times New Roman"/>
                <w:sz w:val="22"/>
              </w:rPr>
            </w:pPr>
          </w:p>
        </w:tc>
      </w:tr>
    </w:tbl>
    <w:p>
      <w:pPr>
        <w:rPr>
          <w:sz w:val="2"/>
          <w:szCs w:val="2"/>
        </w:rPr>
      </w:pPr>
      <w:r>
        <w:rPr/>
        <w:pict>
          <v:shapetype id="_x0000_t202" o:spt="202" coordsize="21600,21600" path="m,l,21600r21600,l21600,xe">
            <v:stroke joinstyle="miter"/>
            <v:path gradientshapeok="t" o:connecttype="rect"/>
          </v:shapetype>
          <v:shape style="position:absolute;margin-left:162.839996pt;margin-top:372.420013pt;width:352.4pt;height:430.1pt;mso-position-horizontal-relative:page;mso-position-vertical-relative:page;z-index:2516602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2"/>
                    <w:gridCol w:w="1910"/>
                    <w:gridCol w:w="2073"/>
                    <w:gridCol w:w="2086"/>
                  </w:tblGrid>
                  <w:tr>
                    <w:trPr>
                      <w:trHeight w:val="1032" w:hRule="atLeast"/>
                    </w:trPr>
                    <w:tc>
                      <w:tcPr>
                        <w:tcW w:w="962" w:type="dxa"/>
                      </w:tcPr>
                      <w:p>
                        <w:pPr>
                          <w:pStyle w:val="TableParagraph"/>
                          <w:ind w:left="107"/>
                          <w:rPr>
                            <w:rFonts w:ascii="Bookman Old Style"/>
                            <w:b/>
                            <w:sz w:val="22"/>
                          </w:rPr>
                        </w:pPr>
                        <w:r>
                          <w:rPr>
                            <w:rFonts w:ascii="Bookman Old Style"/>
                            <w:b/>
                            <w:sz w:val="22"/>
                          </w:rPr>
                          <w:t>Grade</w:t>
                        </w:r>
                      </w:p>
                    </w:tc>
                    <w:tc>
                      <w:tcPr>
                        <w:tcW w:w="1910" w:type="dxa"/>
                      </w:tcPr>
                      <w:p>
                        <w:pPr>
                          <w:pStyle w:val="TableParagraph"/>
                          <w:ind w:left="108" w:right="137"/>
                          <w:rPr>
                            <w:rFonts w:ascii="Bookman Old Style"/>
                            <w:b/>
                            <w:sz w:val="22"/>
                          </w:rPr>
                        </w:pPr>
                        <w:r>
                          <w:rPr>
                            <w:rFonts w:ascii="Bookman Old Style"/>
                            <w:b/>
                            <w:sz w:val="22"/>
                          </w:rPr>
                          <w:t>Knowledge and </w:t>
                        </w:r>
                        <w:r>
                          <w:rPr>
                            <w:rFonts w:ascii="Bookman Old Style"/>
                            <w:b/>
                            <w:spacing w:val="-1"/>
                            <w:sz w:val="22"/>
                          </w:rPr>
                          <w:t>understanding</w:t>
                        </w:r>
                      </w:p>
                      <w:p>
                        <w:pPr>
                          <w:pStyle w:val="TableParagraph"/>
                          <w:spacing w:line="238" w:lineRule="exact"/>
                          <w:ind w:left="108"/>
                          <w:rPr>
                            <w:rFonts w:ascii="Bookman Old Style"/>
                            <w:b/>
                            <w:sz w:val="22"/>
                          </w:rPr>
                        </w:pPr>
                        <w:r>
                          <w:rPr>
                            <w:rFonts w:ascii="Bookman Old Style"/>
                            <w:b/>
                            <w:sz w:val="22"/>
                          </w:rPr>
                          <w:t>of the topic</w:t>
                        </w:r>
                      </w:p>
                    </w:tc>
                    <w:tc>
                      <w:tcPr>
                        <w:tcW w:w="2073" w:type="dxa"/>
                      </w:tcPr>
                      <w:p>
                        <w:pPr>
                          <w:pStyle w:val="TableParagraph"/>
                          <w:ind w:left="108" w:right="575"/>
                          <w:rPr>
                            <w:rFonts w:ascii="Bookman Old Style"/>
                            <w:b/>
                            <w:sz w:val="22"/>
                          </w:rPr>
                        </w:pPr>
                        <w:r>
                          <w:rPr>
                            <w:rFonts w:ascii="Bookman Old Style"/>
                            <w:b/>
                            <w:sz w:val="22"/>
                          </w:rPr>
                          <w:t>Ability to analyze and synthesize</w:t>
                        </w:r>
                      </w:p>
                    </w:tc>
                    <w:tc>
                      <w:tcPr>
                        <w:tcW w:w="2086" w:type="dxa"/>
                      </w:tcPr>
                      <w:p>
                        <w:pPr>
                          <w:pStyle w:val="TableParagraph"/>
                          <w:ind w:left="109" w:right="758"/>
                          <w:rPr>
                            <w:rFonts w:ascii="Bookman Old Style"/>
                            <w:b/>
                            <w:sz w:val="22"/>
                          </w:rPr>
                        </w:pPr>
                        <w:r>
                          <w:rPr>
                            <w:rFonts w:ascii="Bookman Old Style"/>
                            <w:b/>
                            <w:sz w:val="22"/>
                          </w:rPr>
                          <w:t>Use of references</w:t>
                        </w:r>
                      </w:p>
                    </w:tc>
                  </w:tr>
                  <w:tr>
                    <w:trPr>
                      <w:trHeight w:val="1290" w:hRule="atLeast"/>
                    </w:trPr>
                    <w:tc>
                      <w:tcPr>
                        <w:tcW w:w="962" w:type="dxa"/>
                      </w:tcPr>
                      <w:p>
                        <w:pPr>
                          <w:pStyle w:val="TableParagraph"/>
                          <w:ind w:left="107"/>
                          <w:rPr>
                            <w:rFonts w:ascii="Bookman Old Style"/>
                            <w:b w:val="0"/>
                            <w:sz w:val="22"/>
                          </w:rPr>
                        </w:pPr>
                        <w:r>
                          <w:rPr>
                            <w:rFonts w:ascii="Bookman Old Style"/>
                            <w:b w:val="0"/>
                            <w:sz w:val="22"/>
                          </w:rPr>
                          <w:t>Fail</w:t>
                        </w:r>
                      </w:p>
                    </w:tc>
                    <w:tc>
                      <w:tcPr>
                        <w:tcW w:w="1910" w:type="dxa"/>
                      </w:tcPr>
                      <w:p>
                        <w:pPr>
                          <w:pStyle w:val="TableParagraph"/>
                          <w:ind w:left="108" w:right="319" w:hanging="1"/>
                          <w:rPr>
                            <w:rFonts w:ascii="Bookman Old Style"/>
                            <w:b w:val="0"/>
                            <w:sz w:val="22"/>
                          </w:rPr>
                        </w:pPr>
                        <w:r>
                          <w:rPr>
                            <w:rFonts w:ascii="Bookman Old Style"/>
                            <w:b w:val="0"/>
                            <w:sz w:val="22"/>
                          </w:rPr>
                          <w:t>Severe shortcomings and inaccuracies</w:t>
                        </w:r>
                      </w:p>
                    </w:tc>
                    <w:tc>
                      <w:tcPr>
                        <w:tcW w:w="2073" w:type="dxa"/>
                      </w:tcPr>
                      <w:p>
                        <w:pPr>
                          <w:pStyle w:val="TableParagraph"/>
                          <w:ind w:left="108" w:right="249"/>
                          <w:rPr>
                            <w:rFonts w:ascii="Bookman Old Style"/>
                            <w:b w:val="0"/>
                            <w:sz w:val="22"/>
                          </w:rPr>
                        </w:pPr>
                        <w:r>
                          <w:rPr>
                            <w:rFonts w:ascii="Bookman Old Style"/>
                            <w:b w:val="0"/>
                            <w:sz w:val="22"/>
                          </w:rPr>
                          <w:t>Irrelevant. Frequent generalizations. Inability</w:t>
                        </w:r>
                        <w:r>
                          <w:rPr>
                            <w:rFonts w:ascii="Bookman Old Style"/>
                            <w:b w:val="0"/>
                            <w:spacing w:val="-1"/>
                            <w:sz w:val="22"/>
                          </w:rPr>
                          <w:t> </w:t>
                        </w:r>
                        <w:r>
                          <w:rPr>
                            <w:rFonts w:ascii="Bookman Old Style"/>
                            <w:b w:val="0"/>
                            <w:sz w:val="22"/>
                          </w:rPr>
                          <w:t>to</w:t>
                        </w:r>
                      </w:p>
                      <w:p>
                        <w:pPr>
                          <w:pStyle w:val="TableParagraph"/>
                          <w:spacing w:line="238" w:lineRule="exact"/>
                          <w:ind w:left="108"/>
                          <w:rPr>
                            <w:rFonts w:ascii="Bookman Old Style"/>
                            <w:b w:val="0"/>
                            <w:sz w:val="22"/>
                          </w:rPr>
                        </w:pPr>
                        <w:r>
                          <w:rPr>
                            <w:rFonts w:ascii="Bookman Old Style"/>
                            <w:b w:val="0"/>
                            <w:sz w:val="22"/>
                          </w:rPr>
                          <w:t>synthesize</w:t>
                        </w:r>
                      </w:p>
                    </w:tc>
                    <w:tc>
                      <w:tcPr>
                        <w:tcW w:w="2086" w:type="dxa"/>
                      </w:tcPr>
                      <w:p>
                        <w:pPr>
                          <w:pStyle w:val="TableParagraph"/>
                          <w:ind w:left="109" w:right="490"/>
                          <w:rPr>
                            <w:rFonts w:ascii="Bookman Old Style"/>
                            <w:b w:val="0"/>
                            <w:sz w:val="22"/>
                          </w:rPr>
                        </w:pPr>
                        <w:r>
                          <w:rPr>
                            <w:rFonts w:ascii="Bookman Old Style"/>
                            <w:b w:val="0"/>
                            <w:sz w:val="22"/>
                          </w:rPr>
                          <w:t>Completely inappropriate</w:t>
                        </w:r>
                      </w:p>
                    </w:tc>
                  </w:tr>
                  <w:tr>
                    <w:trPr>
                      <w:trHeight w:val="774" w:hRule="atLeast"/>
                    </w:trPr>
                    <w:tc>
                      <w:tcPr>
                        <w:tcW w:w="962" w:type="dxa"/>
                      </w:tcPr>
                      <w:p>
                        <w:pPr>
                          <w:pStyle w:val="TableParagraph"/>
                          <w:ind w:left="107"/>
                          <w:rPr>
                            <w:rFonts w:ascii="Bookman Old Style"/>
                            <w:b w:val="0"/>
                            <w:sz w:val="22"/>
                          </w:rPr>
                        </w:pPr>
                        <w:r>
                          <w:rPr>
                            <w:rFonts w:ascii="Bookman Old Style"/>
                            <w:b w:val="0"/>
                            <w:sz w:val="22"/>
                          </w:rPr>
                          <w:t>18-20</w:t>
                        </w:r>
                      </w:p>
                    </w:tc>
                    <w:tc>
                      <w:tcPr>
                        <w:tcW w:w="1910" w:type="dxa"/>
                      </w:tcPr>
                      <w:p>
                        <w:pPr>
                          <w:pStyle w:val="TableParagraph"/>
                          <w:ind w:left="108" w:hanging="1"/>
                          <w:rPr>
                            <w:rFonts w:ascii="Bookman Old Style"/>
                            <w:b w:val="0"/>
                            <w:sz w:val="22"/>
                          </w:rPr>
                        </w:pPr>
                        <w:r>
                          <w:rPr>
                            <w:rFonts w:ascii="Bookman Old Style"/>
                            <w:b w:val="0"/>
                            <w:sz w:val="22"/>
                          </w:rPr>
                          <w:t>Sufficient.</w:t>
                        </w:r>
                      </w:p>
                      <w:p>
                        <w:pPr>
                          <w:pStyle w:val="TableParagraph"/>
                          <w:spacing w:line="258" w:lineRule="exact" w:before="2"/>
                          <w:ind w:left="108" w:right="249"/>
                          <w:rPr>
                            <w:rFonts w:ascii="Bookman Old Style"/>
                            <w:b w:val="0"/>
                            <w:sz w:val="22"/>
                          </w:rPr>
                        </w:pPr>
                        <w:r>
                          <w:rPr>
                            <w:rFonts w:ascii="Bookman Old Style"/>
                            <w:b w:val="0"/>
                            <w:sz w:val="22"/>
                          </w:rPr>
                          <w:t>Important shortcomings.</w:t>
                        </w:r>
                      </w:p>
                    </w:tc>
                    <w:tc>
                      <w:tcPr>
                        <w:tcW w:w="2073" w:type="dxa"/>
                      </w:tcPr>
                      <w:p>
                        <w:pPr>
                          <w:pStyle w:val="TableParagraph"/>
                          <w:ind w:left="108" w:right="716"/>
                          <w:rPr>
                            <w:rFonts w:ascii="Bookman Old Style"/>
                            <w:b w:val="0"/>
                            <w:sz w:val="22"/>
                          </w:rPr>
                        </w:pPr>
                        <w:r>
                          <w:rPr>
                            <w:rFonts w:ascii="Bookman Old Style"/>
                            <w:b w:val="0"/>
                            <w:sz w:val="22"/>
                          </w:rPr>
                          <w:t>Sufficient capabilities</w:t>
                        </w:r>
                      </w:p>
                    </w:tc>
                    <w:tc>
                      <w:tcPr>
                        <w:tcW w:w="2086" w:type="dxa"/>
                      </w:tcPr>
                      <w:p>
                        <w:pPr>
                          <w:pStyle w:val="TableParagraph"/>
                          <w:ind w:left="109"/>
                          <w:rPr>
                            <w:rFonts w:ascii="Bookman Old Style"/>
                            <w:b w:val="0"/>
                            <w:sz w:val="22"/>
                          </w:rPr>
                        </w:pPr>
                        <w:r>
                          <w:rPr>
                            <w:rFonts w:ascii="Bookman Old Style"/>
                            <w:b w:val="0"/>
                            <w:sz w:val="22"/>
                          </w:rPr>
                          <w:t>Sufficient</w:t>
                        </w:r>
                      </w:p>
                    </w:tc>
                  </w:tr>
                  <w:tr>
                    <w:trPr>
                      <w:trHeight w:val="1549" w:hRule="atLeast"/>
                    </w:trPr>
                    <w:tc>
                      <w:tcPr>
                        <w:tcW w:w="962" w:type="dxa"/>
                      </w:tcPr>
                      <w:p>
                        <w:pPr>
                          <w:pStyle w:val="TableParagraph"/>
                          <w:spacing w:line="257" w:lineRule="exact"/>
                          <w:ind w:left="107"/>
                          <w:rPr>
                            <w:rFonts w:ascii="Bookman Old Style"/>
                            <w:b w:val="0"/>
                            <w:sz w:val="22"/>
                          </w:rPr>
                        </w:pPr>
                        <w:r>
                          <w:rPr>
                            <w:rFonts w:ascii="Bookman Old Style"/>
                            <w:b w:val="0"/>
                            <w:sz w:val="22"/>
                          </w:rPr>
                          <w:t>21-23</w:t>
                        </w:r>
                      </w:p>
                    </w:tc>
                    <w:tc>
                      <w:tcPr>
                        <w:tcW w:w="1910" w:type="dxa"/>
                      </w:tcPr>
                      <w:p>
                        <w:pPr>
                          <w:pStyle w:val="TableParagraph"/>
                          <w:ind w:left="108" w:right="319" w:hanging="2"/>
                          <w:rPr>
                            <w:rFonts w:ascii="Bookman Old Style"/>
                            <w:b w:val="0"/>
                            <w:sz w:val="22"/>
                          </w:rPr>
                        </w:pPr>
                        <w:r>
                          <w:rPr>
                            <w:rFonts w:ascii="Bookman Old Style"/>
                            <w:b w:val="0"/>
                            <w:sz w:val="22"/>
                          </w:rPr>
                          <w:t>Basic </w:t>
                        </w:r>
                        <w:r>
                          <w:rPr>
                            <w:rFonts w:ascii="Bookman Old Style"/>
                            <w:b w:val="0"/>
                            <w:w w:val="95"/>
                            <w:sz w:val="22"/>
                          </w:rPr>
                          <w:t>knowledge</w:t>
                        </w:r>
                      </w:p>
                    </w:tc>
                    <w:tc>
                      <w:tcPr>
                        <w:tcW w:w="2073" w:type="dxa"/>
                      </w:tcPr>
                      <w:p>
                        <w:pPr>
                          <w:pStyle w:val="TableParagraph"/>
                          <w:ind w:left="108" w:right="241"/>
                          <w:rPr>
                            <w:rFonts w:ascii="Bookman Old Style"/>
                            <w:b w:val="0"/>
                            <w:sz w:val="22"/>
                          </w:rPr>
                        </w:pPr>
                        <w:r>
                          <w:rPr>
                            <w:rFonts w:ascii="Bookman Old Style"/>
                            <w:b w:val="0"/>
                            <w:sz w:val="22"/>
                          </w:rPr>
                          <w:t>The student is capable of correct analysis and synthesis,</w:t>
                        </w:r>
                      </w:p>
                      <w:p>
                        <w:pPr>
                          <w:pStyle w:val="TableParagraph"/>
                          <w:spacing w:line="258" w:lineRule="exact"/>
                          <w:ind w:left="108" w:right="166"/>
                          <w:rPr>
                            <w:rFonts w:ascii="Bookman Old Style"/>
                            <w:b w:val="0"/>
                            <w:sz w:val="22"/>
                          </w:rPr>
                        </w:pPr>
                        <w:r>
                          <w:rPr>
                            <w:rFonts w:ascii="Bookman Old Style"/>
                            <w:b w:val="0"/>
                            <w:sz w:val="22"/>
                          </w:rPr>
                          <w:t>argues logically and consistently</w:t>
                        </w:r>
                      </w:p>
                    </w:tc>
                    <w:tc>
                      <w:tcPr>
                        <w:tcW w:w="2086" w:type="dxa"/>
                      </w:tcPr>
                      <w:p>
                        <w:pPr>
                          <w:pStyle w:val="TableParagraph"/>
                          <w:ind w:left="109" w:right="90"/>
                          <w:rPr>
                            <w:rFonts w:ascii="Bookman Old Style"/>
                            <w:b w:val="0"/>
                            <w:sz w:val="22"/>
                          </w:rPr>
                        </w:pPr>
                        <w:r>
                          <w:rPr>
                            <w:rFonts w:ascii="Bookman Old Style"/>
                            <w:b w:val="0"/>
                            <w:sz w:val="22"/>
                          </w:rPr>
                          <w:t>The student uses standard references</w:t>
                        </w:r>
                      </w:p>
                    </w:tc>
                  </w:tr>
                  <w:tr>
                    <w:trPr>
                      <w:trHeight w:val="1806" w:hRule="atLeast"/>
                    </w:trPr>
                    <w:tc>
                      <w:tcPr>
                        <w:tcW w:w="962" w:type="dxa"/>
                      </w:tcPr>
                      <w:p>
                        <w:pPr>
                          <w:pStyle w:val="TableParagraph"/>
                          <w:spacing w:line="258" w:lineRule="exact"/>
                          <w:ind w:left="107"/>
                          <w:rPr>
                            <w:rFonts w:ascii="Bookman Old Style"/>
                            <w:b w:val="0"/>
                            <w:sz w:val="22"/>
                          </w:rPr>
                        </w:pPr>
                        <w:r>
                          <w:rPr>
                            <w:rFonts w:ascii="Bookman Old Style"/>
                            <w:b w:val="0"/>
                            <w:sz w:val="22"/>
                          </w:rPr>
                          <w:t>24-26</w:t>
                        </w:r>
                      </w:p>
                    </w:tc>
                    <w:tc>
                      <w:tcPr>
                        <w:tcW w:w="1910" w:type="dxa"/>
                      </w:tcPr>
                      <w:p>
                        <w:pPr>
                          <w:pStyle w:val="TableParagraph"/>
                          <w:ind w:left="108" w:right="431" w:hanging="1"/>
                          <w:rPr>
                            <w:rFonts w:ascii="Bookman Old Style"/>
                            <w:b w:val="0"/>
                            <w:sz w:val="22"/>
                          </w:rPr>
                        </w:pPr>
                        <w:r>
                          <w:rPr>
                            <w:rFonts w:ascii="Bookman Old Style"/>
                            <w:b w:val="0"/>
                            <w:sz w:val="22"/>
                          </w:rPr>
                          <w:t>Satisfactory. Good knowledge</w:t>
                        </w:r>
                      </w:p>
                    </w:tc>
                    <w:tc>
                      <w:tcPr>
                        <w:tcW w:w="2073" w:type="dxa"/>
                      </w:tcPr>
                      <w:p>
                        <w:pPr>
                          <w:pStyle w:val="TableParagraph"/>
                          <w:ind w:left="108" w:right="183"/>
                          <w:rPr>
                            <w:rFonts w:ascii="Bookman Old Style"/>
                            <w:b w:val="0"/>
                            <w:sz w:val="22"/>
                          </w:rPr>
                        </w:pPr>
                        <w:r>
                          <w:rPr>
                            <w:rFonts w:ascii="Bookman Old Style"/>
                            <w:b w:val="0"/>
                            <w:sz w:val="22"/>
                          </w:rPr>
                          <w:t>The student has good analysis and synthesis skills. The arguments are expressed</w:t>
                        </w:r>
                      </w:p>
                      <w:p>
                        <w:pPr>
                          <w:pStyle w:val="TableParagraph"/>
                          <w:spacing w:line="237" w:lineRule="exact"/>
                          <w:ind w:left="108"/>
                          <w:rPr>
                            <w:rFonts w:ascii="Bookman Old Style"/>
                            <w:b w:val="0"/>
                            <w:sz w:val="22"/>
                          </w:rPr>
                        </w:pPr>
                        <w:r>
                          <w:rPr>
                            <w:rFonts w:ascii="Bookman Old Style"/>
                            <w:b w:val="0"/>
                            <w:sz w:val="22"/>
                          </w:rPr>
                          <w:t>consistently</w:t>
                        </w:r>
                      </w:p>
                    </w:tc>
                    <w:tc>
                      <w:tcPr>
                        <w:tcW w:w="2086" w:type="dxa"/>
                      </w:tcPr>
                      <w:p>
                        <w:pPr>
                          <w:pStyle w:val="TableParagraph"/>
                          <w:ind w:left="109" w:right="90"/>
                          <w:rPr>
                            <w:rFonts w:ascii="Bookman Old Style"/>
                            <w:b w:val="0"/>
                            <w:sz w:val="22"/>
                          </w:rPr>
                        </w:pPr>
                        <w:r>
                          <w:rPr>
                            <w:rFonts w:ascii="Bookman Old Style"/>
                            <w:b w:val="0"/>
                            <w:sz w:val="22"/>
                          </w:rPr>
                          <w:t>The student uses standard references</w:t>
                        </w:r>
                      </w:p>
                    </w:tc>
                  </w:tr>
                  <w:tr>
                    <w:trPr>
                      <w:trHeight w:val="1032" w:hRule="atLeast"/>
                    </w:trPr>
                    <w:tc>
                      <w:tcPr>
                        <w:tcW w:w="962" w:type="dxa"/>
                      </w:tcPr>
                      <w:p>
                        <w:pPr>
                          <w:pStyle w:val="TableParagraph"/>
                          <w:spacing w:before="1"/>
                          <w:ind w:left="107"/>
                          <w:rPr>
                            <w:rFonts w:ascii="Bookman Old Style"/>
                            <w:b w:val="0"/>
                            <w:sz w:val="22"/>
                          </w:rPr>
                        </w:pPr>
                        <w:r>
                          <w:rPr>
                            <w:rFonts w:ascii="Bookman Old Style"/>
                            <w:b w:val="0"/>
                            <w:sz w:val="22"/>
                          </w:rPr>
                          <w:t>27-29</w:t>
                        </w:r>
                      </w:p>
                    </w:tc>
                    <w:tc>
                      <w:tcPr>
                        <w:tcW w:w="1910" w:type="dxa"/>
                      </w:tcPr>
                      <w:p>
                        <w:pPr>
                          <w:pStyle w:val="TableParagraph"/>
                          <w:spacing w:before="1"/>
                          <w:ind w:left="108"/>
                          <w:rPr>
                            <w:rFonts w:ascii="Bookman Old Style"/>
                            <w:b w:val="0"/>
                            <w:sz w:val="22"/>
                          </w:rPr>
                        </w:pPr>
                        <w:r>
                          <w:rPr>
                            <w:rFonts w:ascii="Bookman Old Style"/>
                            <w:b w:val="0"/>
                            <w:sz w:val="22"/>
                          </w:rPr>
                          <w:t>Very Good</w:t>
                        </w:r>
                      </w:p>
                    </w:tc>
                    <w:tc>
                      <w:tcPr>
                        <w:tcW w:w="2073" w:type="dxa"/>
                      </w:tcPr>
                      <w:p>
                        <w:pPr>
                          <w:pStyle w:val="TableParagraph"/>
                          <w:spacing w:line="258" w:lineRule="exact" w:before="2"/>
                          <w:ind w:left="108" w:right="139"/>
                          <w:rPr>
                            <w:rFonts w:ascii="Bookman Old Style"/>
                            <w:b w:val="0"/>
                            <w:sz w:val="22"/>
                          </w:rPr>
                        </w:pPr>
                        <w:r>
                          <w:rPr>
                            <w:rFonts w:ascii="Bookman Old Style"/>
                            <w:b w:val="0"/>
                            <w:sz w:val="22"/>
                          </w:rPr>
                          <w:t>The student has considerable skills in analysis and synthesis</w:t>
                        </w:r>
                      </w:p>
                    </w:tc>
                    <w:tc>
                      <w:tcPr>
                        <w:tcW w:w="2086" w:type="dxa"/>
                      </w:tcPr>
                      <w:p>
                        <w:pPr>
                          <w:pStyle w:val="TableParagraph"/>
                          <w:spacing w:line="258" w:lineRule="exact" w:before="2"/>
                          <w:ind w:left="109" w:right="521"/>
                          <w:rPr>
                            <w:rFonts w:ascii="Bookman Old Style"/>
                            <w:b w:val="0"/>
                            <w:sz w:val="22"/>
                          </w:rPr>
                        </w:pPr>
                        <w:r>
                          <w:rPr>
                            <w:rFonts w:ascii="Bookman Old Style"/>
                            <w:b w:val="0"/>
                            <w:sz w:val="22"/>
                          </w:rPr>
                          <w:t>The student deepened the topics of the exam</w:t>
                        </w:r>
                      </w:p>
                    </w:tc>
                  </w:tr>
                  <w:tr>
                    <w:trPr>
                      <w:trHeight w:val="1033" w:hRule="atLeast"/>
                    </w:trPr>
                    <w:tc>
                      <w:tcPr>
                        <w:tcW w:w="962" w:type="dxa"/>
                      </w:tcPr>
                      <w:p>
                        <w:pPr>
                          <w:pStyle w:val="TableParagraph"/>
                          <w:spacing w:line="258" w:lineRule="exact"/>
                          <w:ind w:left="107"/>
                          <w:rPr>
                            <w:rFonts w:ascii="Bookman Old Style"/>
                            <w:b w:val="0"/>
                            <w:sz w:val="22"/>
                          </w:rPr>
                        </w:pPr>
                        <w:r>
                          <w:rPr>
                            <w:rFonts w:ascii="Bookman Old Style"/>
                            <w:b w:val="0"/>
                            <w:sz w:val="22"/>
                          </w:rPr>
                          <w:t>30-</w:t>
                        </w:r>
                      </w:p>
                      <w:p>
                        <w:pPr>
                          <w:pStyle w:val="TableParagraph"/>
                          <w:ind w:left="107"/>
                          <w:rPr>
                            <w:rFonts w:ascii="Bookman Old Style"/>
                            <w:b w:val="0"/>
                            <w:sz w:val="22"/>
                          </w:rPr>
                        </w:pPr>
                        <w:r>
                          <w:rPr>
                            <w:rFonts w:ascii="Bookman Old Style"/>
                            <w:b w:val="0"/>
                            <w:sz w:val="22"/>
                          </w:rPr>
                          <w:t>30L</w:t>
                        </w:r>
                      </w:p>
                    </w:tc>
                    <w:tc>
                      <w:tcPr>
                        <w:tcW w:w="1910" w:type="dxa"/>
                      </w:tcPr>
                      <w:p>
                        <w:pPr>
                          <w:pStyle w:val="TableParagraph"/>
                          <w:ind w:left="108"/>
                          <w:rPr>
                            <w:rFonts w:ascii="Bookman Old Style"/>
                            <w:b w:val="0"/>
                            <w:sz w:val="22"/>
                          </w:rPr>
                        </w:pPr>
                        <w:r>
                          <w:rPr>
                            <w:rFonts w:ascii="Bookman Old Style"/>
                            <w:b w:val="0"/>
                            <w:sz w:val="22"/>
                          </w:rPr>
                          <w:t>Excellent</w:t>
                        </w:r>
                      </w:p>
                    </w:tc>
                    <w:tc>
                      <w:tcPr>
                        <w:tcW w:w="2073" w:type="dxa"/>
                      </w:tcPr>
                      <w:p>
                        <w:pPr>
                          <w:pStyle w:val="TableParagraph"/>
                          <w:spacing w:line="258" w:lineRule="exact" w:before="1"/>
                          <w:ind w:left="108" w:right="184" w:hanging="1"/>
                          <w:rPr>
                            <w:rFonts w:ascii="Bookman Old Style"/>
                            <w:b w:val="0"/>
                            <w:sz w:val="22"/>
                          </w:rPr>
                        </w:pPr>
                        <w:r>
                          <w:rPr>
                            <w:rFonts w:ascii="Bookman Old Style"/>
                            <w:b w:val="0"/>
                            <w:sz w:val="22"/>
                          </w:rPr>
                          <w:t>The student has excellent analysis and synthesis skills</w:t>
                        </w:r>
                      </w:p>
                    </w:tc>
                    <w:tc>
                      <w:tcPr>
                        <w:tcW w:w="2086" w:type="dxa"/>
                      </w:tcPr>
                      <w:p>
                        <w:pPr>
                          <w:pStyle w:val="TableParagraph"/>
                          <w:ind w:left="109" w:right="869"/>
                          <w:rPr>
                            <w:rFonts w:ascii="Bookman Old Style"/>
                            <w:b w:val="0"/>
                            <w:sz w:val="22"/>
                          </w:rPr>
                        </w:pPr>
                        <w:r>
                          <w:rPr>
                            <w:rFonts w:ascii="Bookman Old Style"/>
                            <w:b w:val="0"/>
                            <w:sz w:val="22"/>
                          </w:rPr>
                          <w:t>Important insights.</w:t>
                        </w:r>
                      </w:p>
                    </w:tc>
                  </w:tr>
                </w:tbl>
                <w:p>
                  <w:pPr>
                    <w:pStyle w:val="BodyText"/>
                  </w:pPr>
                </w:p>
              </w:txbxContent>
            </v:textbox>
            <w10:wrap type="none"/>
          </v:shape>
        </w:pict>
      </w:r>
    </w:p>
    <w:p>
      <w:pPr>
        <w:spacing w:after="0"/>
        <w:rPr>
          <w:sz w:val="2"/>
          <w:szCs w:val="2"/>
        </w:rPr>
        <w:sectPr>
          <w:pgSz w:w="11910" w:h="16840"/>
          <w:pgMar w:top="1360" w:bottom="280" w:left="320" w:right="560"/>
        </w:sect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4"/>
        <w:gridCol w:w="8458"/>
      </w:tblGrid>
      <w:tr>
        <w:trPr>
          <w:trHeight w:val="258" w:hRule="atLeast"/>
        </w:trPr>
        <w:tc>
          <w:tcPr>
            <w:tcW w:w="2324" w:type="dxa"/>
          </w:tcPr>
          <w:p>
            <w:pPr>
              <w:pStyle w:val="TableParagraph"/>
              <w:rPr>
                <w:rFonts w:ascii="Times New Roman"/>
                <w:sz w:val="2"/>
              </w:rPr>
            </w:pPr>
          </w:p>
        </w:tc>
        <w:tc>
          <w:tcPr>
            <w:tcW w:w="8458" w:type="dxa"/>
          </w:tcPr>
          <w:p>
            <w:pPr>
              <w:pStyle w:val="TableParagraph"/>
              <w:rPr>
                <w:rFonts w:ascii="Times New Roman"/>
                <w:sz w:val="2"/>
              </w:rPr>
            </w:pPr>
          </w:p>
        </w:tc>
      </w:tr>
    </w:tbl>
    <w:sectPr>
      <w:pgSz w:w="11910" w:h="16840"/>
      <w:pgMar w:top="1360" w:bottom="280" w:left="3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Bookman Old Style">
    <w:altName w:val="Bookman Old Styl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Bookman Old Style" w:hAnsi="Bookman Old Style" w:eastAsia="Bookman Old Style" w:cs="Bookman Old Style"/>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fulviogigliotti@unicz.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Chiarella</dc:creator>
  <dc:title>Microsoft Word - Syllabus Private Law_Law 2021 2022 - EN</dc:title>
  <dcterms:created xsi:type="dcterms:W3CDTF">2023-09-10T05:27:32Z</dcterms:created>
  <dcterms:modified xsi:type="dcterms:W3CDTF">2023-09-10T05:27:32Z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PScript5.dll Version 5.2.2</vt:lpwstr>
  </property>
  <property fmtid="{D5CDD505-2E9C-101B-9397-08002B2CF9AE}" pid="4" name="LastSaved">
    <vt:filetime>2023-09-10T00:00:00Z</vt:filetime>
  </property>
</Properties>
</file>