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CED2" w14:textId="77777777" w:rsidR="0069664E" w:rsidRPr="00375F09" w:rsidRDefault="0069664E" w:rsidP="0069664E">
      <w:pPr>
        <w:rPr>
          <w:b/>
          <w:bCs/>
        </w:rPr>
      </w:pPr>
      <w:r w:rsidRPr="00375F09">
        <w:rPr>
          <w:b/>
          <w:bCs/>
        </w:rPr>
        <w:t xml:space="preserve">DIRITTO DELLE MIGRAZIONI IN EUROPA </w:t>
      </w:r>
    </w:p>
    <w:p w14:paraId="77A30A87" w14:textId="3F992F03" w:rsidR="0069664E" w:rsidRDefault="0069664E" w:rsidP="0069664E">
      <w:r>
        <w:t xml:space="preserve">Prof. </w:t>
      </w:r>
      <w:r>
        <w:t>Emmanuel Pagano</w:t>
      </w:r>
      <w:r>
        <w:t xml:space="preserve"> </w:t>
      </w:r>
    </w:p>
    <w:p w14:paraId="44D7DEBE" w14:textId="599C6D92" w:rsidR="0069664E" w:rsidRDefault="0069664E" w:rsidP="0069664E">
      <w:proofErr w:type="spellStart"/>
      <w:r>
        <w:t>a.a</w:t>
      </w:r>
      <w:proofErr w:type="spellEnd"/>
      <w:r>
        <w:t>. 202</w:t>
      </w:r>
      <w:r>
        <w:t>3</w:t>
      </w:r>
      <w:r>
        <w:t>-202</w:t>
      </w:r>
      <w:r>
        <w:t>4</w:t>
      </w:r>
      <w:r>
        <w:t xml:space="preserve"> </w:t>
      </w:r>
    </w:p>
    <w:p w14:paraId="2889090C" w14:textId="77777777" w:rsidR="0069664E" w:rsidRPr="00375F09" w:rsidRDefault="0069664E" w:rsidP="0069664E">
      <w:pPr>
        <w:rPr>
          <w:b/>
          <w:bCs/>
        </w:rPr>
      </w:pPr>
      <w:r w:rsidRPr="00375F09">
        <w:rPr>
          <w:b/>
          <w:bCs/>
        </w:rPr>
        <w:t xml:space="preserve">Informazioni Docente </w:t>
      </w:r>
    </w:p>
    <w:p w14:paraId="2C2CEC06" w14:textId="772E0536" w:rsidR="0069664E" w:rsidRDefault="0069664E" w:rsidP="0069664E">
      <w:r>
        <w:t xml:space="preserve">Prof. </w:t>
      </w:r>
      <w:r>
        <w:t>Emmanuel Pagano</w:t>
      </w:r>
      <w:r>
        <w:t xml:space="preserve"> (docente) </w:t>
      </w:r>
    </w:p>
    <w:p w14:paraId="526773C7" w14:textId="1718930E" w:rsidR="0069664E" w:rsidRDefault="0069664E" w:rsidP="0069664E">
      <w:r>
        <w:t xml:space="preserve">e-mail: </w:t>
      </w:r>
      <w:r>
        <w:t>emmanuel.pagano</w:t>
      </w:r>
      <w:r>
        <w:t xml:space="preserve">@unicz.it  </w:t>
      </w:r>
    </w:p>
    <w:p w14:paraId="65D16BB6" w14:textId="77777777" w:rsidR="0069664E" w:rsidRDefault="0069664E" w:rsidP="0069664E">
      <w:r>
        <w:t xml:space="preserve">Le date dei ricevimenti sono periodicamente pubblicate nel sito del dipartimento o concordate con la docente via </w:t>
      </w:r>
    </w:p>
    <w:p w14:paraId="2E1E1DD4" w14:textId="77777777" w:rsidR="0069664E" w:rsidRDefault="0069664E" w:rsidP="0069664E">
      <w:r>
        <w:t xml:space="preserve">e-mail. </w:t>
      </w:r>
    </w:p>
    <w:p w14:paraId="546B1964" w14:textId="77777777" w:rsidR="0069664E" w:rsidRPr="00375F09" w:rsidRDefault="0069664E" w:rsidP="0069664E">
      <w:pPr>
        <w:rPr>
          <w:b/>
          <w:bCs/>
        </w:rPr>
      </w:pPr>
      <w:r w:rsidRPr="00375F09">
        <w:rPr>
          <w:b/>
          <w:bCs/>
        </w:rPr>
        <w:t xml:space="preserve">Descrizione del Corso  </w:t>
      </w:r>
    </w:p>
    <w:p w14:paraId="2BBA0731" w14:textId="77777777" w:rsidR="0069664E" w:rsidRDefault="0069664E" w:rsidP="0069664E">
      <w:r>
        <w:t xml:space="preserve">Il corso verte sulla disciplina giuridica delle migrazioni in Europa.  </w:t>
      </w:r>
    </w:p>
    <w:p w14:paraId="1AB2B1ED" w14:textId="77777777" w:rsidR="0069664E" w:rsidRPr="00375F09" w:rsidRDefault="0069664E" w:rsidP="0069664E">
      <w:pPr>
        <w:rPr>
          <w:b/>
          <w:bCs/>
        </w:rPr>
      </w:pPr>
      <w:r w:rsidRPr="00375F09">
        <w:rPr>
          <w:b/>
          <w:bCs/>
        </w:rPr>
        <w:t xml:space="preserve">Obiettivi del Corso e Risultati di apprendimento attesi </w:t>
      </w:r>
    </w:p>
    <w:p w14:paraId="52963DCF" w14:textId="31583A7A" w:rsidR="0069664E" w:rsidRDefault="0069664E" w:rsidP="0069664E">
      <w:r>
        <w:t xml:space="preserve">Il corso mira a consentire allo studente di orientarsi fra le fonti (internazionali, dell’Unione Europea e nazionali) che regolano le migrazioni e l’asilo in Europa, familiarizzandosi con le norme che disciplinano il controllo delle frontiere e con quelle che regolano l’ingresso ed il soggiorno di cittadini di Paesi terzi.  </w:t>
      </w:r>
    </w:p>
    <w:p w14:paraId="68CDFED2" w14:textId="333D5186" w:rsidR="0069664E" w:rsidRPr="00375F09" w:rsidRDefault="0069664E" w:rsidP="0069664E">
      <w:pPr>
        <w:rPr>
          <w:b/>
          <w:bCs/>
        </w:rPr>
      </w:pPr>
      <w:r w:rsidRPr="00375F09">
        <w:rPr>
          <w:b/>
          <w:bCs/>
        </w:rPr>
        <w:t xml:space="preserve">Programma </w:t>
      </w:r>
    </w:p>
    <w:p w14:paraId="71295E2C" w14:textId="37AD3B95" w:rsidR="0069664E" w:rsidRDefault="0069664E" w:rsidP="0069664E">
      <w:pPr>
        <w:pStyle w:val="Paragrafoelenco"/>
        <w:numPr>
          <w:ilvl w:val="0"/>
          <w:numId w:val="1"/>
        </w:numPr>
      </w:pPr>
      <w:r>
        <w:t xml:space="preserve">Le fonti del diritto delle migrazioni negli ordinamenti internazionale, dell’Unione Europea e nazionale e le rispettive interazioni.  </w:t>
      </w:r>
    </w:p>
    <w:p w14:paraId="69AD78A4" w14:textId="32DE50E4" w:rsidR="0069664E" w:rsidRDefault="0069664E" w:rsidP="0069664E">
      <w:pPr>
        <w:pStyle w:val="Paragrafoelenco"/>
        <w:numPr>
          <w:ilvl w:val="0"/>
          <w:numId w:val="1"/>
        </w:numPr>
      </w:pPr>
      <w:r>
        <w:t xml:space="preserve">Attribuzione e perdita della cittadinanza, apolidia. La condizione giuridica dello straniero nel diritto internazionale: i limiti alla sovranità statale in materia di ingresso, soggiorno e allontanamento dello straniero.  </w:t>
      </w:r>
    </w:p>
    <w:p w14:paraId="3EFA081D" w14:textId="345E57B9" w:rsidR="0069664E" w:rsidRDefault="0069664E" w:rsidP="00375F09">
      <w:pPr>
        <w:pStyle w:val="Paragrafoelenco"/>
        <w:numPr>
          <w:ilvl w:val="0"/>
          <w:numId w:val="1"/>
        </w:numPr>
      </w:pPr>
      <w:r>
        <w:t xml:space="preserve">La cittadinanza europea. La libera circolazione dei cittadini europei e dei loro familiari.  </w:t>
      </w:r>
    </w:p>
    <w:p w14:paraId="573735FD" w14:textId="585A3020" w:rsidR="0069664E" w:rsidRDefault="0069664E" w:rsidP="0069664E">
      <w:pPr>
        <w:pStyle w:val="Paragrafoelenco"/>
        <w:numPr>
          <w:ilvl w:val="0"/>
          <w:numId w:val="1"/>
        </w:numPr>
      </w:pPr>
      <w:r>
        <w:t xml:space="preserve">La disciplina europea della mobilità dei cittadini stranieri. Il controllo delle frontiere. Gli stranieri beneficiari di protezione internazionale. Gli stranieri regolarmente soggiornanti. Gli stranieri in condizione </w:t>
      </w:r>
      <w:r w:rsidR="00375F09">
        <w:t>d</w:t>
      </w:r>
      <w:r>
        <w:t xml:space="preserve">i soggiorno irregolare.  </w:t>
      </w:r>
    </w:p>
    <w:p w14:paraId="7C1F1156" w14:textId="52F1E5EF" w:rsidR="0069664E" w:rsidRDefault="0069664E" w:rsidP="00375F09">
      <w:pPr>
        <w:pStyle w:val="Paragrafoelenco"/>
        <w:numPr>
          <w:ilvl w:val="0"/>
          <w:numId w:val="1"/>
        </w:numPr>
      </w:pPr>
      <w:r>
        <w:t xml:space="preserve">Cenni alla dimensione esterna della politica europea di migrazione e d’asilo. </w:t>
      </w:r>
    </w:p>
    <w:p w14:paraId="4EE90CB3" w14:textId="77777777" w:rsidR="0069664E" w:rsidRPr="00375F09" w:rsidRDefault="0069664E" w:rsidP="0069664E">
      <w:pPr>
        <w:rPr>
          <w:b/>
          <w:bCs/>
        </w:rPr>
      </w:pPr>
      <w:r w:rsidRPr="00375F09">
        <w:rPr>
          <w:b/>
          <w:bCs/>
        </w:rPr>
        <w:t xml:space="preserve">Stima dell’impegno orario richiesto per lo studio individuale del programma </w:t>
      </w:r>
    </w:p>
    <w:p w14:paraId="5D98FDA0" w14:textId="77777777" w:rsidR="0069664E" w:rsidRDefault="0069664E" w:rsidP="0069664E">
      <w:r>
        <w:t xml:space="preserve">Lo studente dovrà dedicare allo studio individuale approssimativamente </w:t>
      </w:r>
      <w:proofErr w:type="gramStart"/>
      <w:r>
        <w:t>100</w:t>
      </w:r>
      <w:proofErr w:type="gramEnd"/>
      <w:r>
        <w:t xml:space="preserve"> ore. </w:t>
      </w:r>
    </w:p>
    <w:p w14:paraId="5146D1B8" w14:textId="77777777" w:rsidR="0069664E" w:rsidRPr="00375F09" w:rsidRDefault="0069664E" w:rsidP="0069664E">
      <w:pPr>
        <w:rPr>
          <w:b/>
          <w:bCs/>
        </w:rPr>
      </w:pPr>
      <w:r w:rsidRPr="00375F09">
        <w:rPr>
          <w:b/>
          <w:bCs/>
        </w:rPr>
        <w:t xml:space="preserve">Metodi Insegnamento utilizzati  </w:t>
      </w:r>
    </w:p>
    <w:p w14:paraId="24E85D95" w14:textId="77777777" w:rsidR="0069664E" w:rsidRDefault="0069664E" w:rsidP="0069664E">
      <w:r>
        <w:t xml:space="preserve">La didattica si articolerà in lezioni frontali e seminari integrativi.  </w:t>
      </w:r>
    </w:p>
    <w:p w14:paraId="015AD986" w14:textId="77777777" w:rsidR="0069664E" w:rsidRPr="00375F09" w:rsidRDefault="0069664E" w:rsidP="0069664E">
      <w:pPr>
        <w:rPr>
          <w:b/>
          <w:bCs/>
        </w:rPr>
      </w:pPr>
      <w:r w:rsidRPr="00375F09">
        <w:rPr>
          <w:b/>
          <w:bCs/>
        </w:rPr>
        <w:t xml:space="preserve">Risorse per l’apprendimento </w:t>
      </w:r>
    </w:p>
    <w:p w14:paraId="1557AC98" w14:textId="77777777" w:rsidR="0069664E" w:rsidRPr="00375F09" w:rsidRDefault="0069664E" w:rsidP="0069664E">
      <w:pPr>
        <w:rPr>
          <w:u w:val="single"/>
        </w:rPr>
      </w:pPr>
      <w:r w:rsidRPr="00375F09">
        <w:rPr>
          <w:u w:val="single"/>
        </w:rPr>
        <w:t xml:space="preserve">Testi di riferimento: </w:t>
      </w:r>
    </w:p>
    <w:p w14:paraId="5F84FE90" w14:textId="77777777" w:rsidR="0069664E" w:rsidRDefault="0069664E" w:rsidP="0069664E">
      <w:r>
        <w:t xml:space="preserve">1. NASCIMBENE B, FAVILLI C., Straniero (tutela internazionale), in CASSESE S. (a cura di), Dizionario di diritto </w:t>
      </w:r>
    </w:p>
    <w:p w14:paraId="0C26BA43" w14:textId="77777777" w:rsidR="0069664E" w:rsidRDefault="0069664E" w:rsidP="0069664E">
      <w:r>
        <w:t xml:space="preserve">pubblico, Milano, 2006, pp. 5796-5805; e </w:t>
      </w:r>
    </w:p>
    <w:p w14:paraId="44C45356" w14:textId="77777777" w:rsidR="0069664E" w:rsidRDefault="0069664E" w:rsidP="0069664E">
      <w:r>
        <w:t xml:space="preserve">2. ADAM R., TIZZANO A., Manuale di diritto dell’Unione europea, Torino, 2014, pp. 395-426; 485-521; 531-552. </w:t>
      </w:r>
    </w:p>
    <w:p w14:paraId="3ABDF085" w14:textId="77777777" w:rsidR="0069664E" w:rsidRDefault="0069664E" w:rsidP="0069664E">
      <w:r>
        <w:lastRenderedPageBreak/>
        <w:t xml:space="preserve">3. Inoltre un capitolo, da concordare con la docente, del testo di: </w:t>
      </w:r>
    </w:p>
    <w:p w14:paraId="23C0F5D6" w14:textId="77777777" w:rsidR="0069664E" w:rsidRDefault="0069664E" w:rsidP="0069664E">
      <w:r>
        <w:t xml:space="preserve">S. AMADEO, F. SPITALERI, Il diritto dell’immigrazione e dell’asilo nell’Unione europea, Giappichelli, 2019. </w:t>
      </w:r>
    </w:p>
    <w:p w14:paraId="3CA3CC36" w14:textId="77777777" w:rsidR="0069664E" w:rsidRDefault="0069664E" w:rsidP="0069664E">
      <w:r>
        <w:t xml:space="preserve">Modalità di frequenza </w:t>
      </w:r>
    </w:p>
    <w:p w14:paraId="72DE19AB" w14:textId="77777777" w:rsidR="0069664E" w:rsidRDefault="0069664E" w:rsidP="0069664E">
      <w:r>
        <w:t xml:space="preserve">Le modalità sono indicate dall’art. 8 del Regolamento didattico d’Ateneo. </w:t>
      </w:r>
    </w:p>
    <w:p w14:paraId="4D8B9E18" w14:textId="77777777" w:rsidR="0069664E" w:rsidRDefault="0069664E" w:rsidP="0069664E">
      <w:r>
        <w:t xml:space="preserve">Modalità di accertamento  </w:t>
      </w:r>
    </w:p>
    <w:p w14:paraId="7EA443FE" w14:textId="003CEAFF" w:rsidR="00A874C8" w:rsidRDefault="0069664E" w:rsidP="0069664E">
      <w:r>
        <w:t>L’esame finale sarà svolto in forma orale</w:t>
      </w:r>
    </w:p>
    <w:sectPr w:rsidR="00A87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60C"/>
    <w:multiLevelType w:val="hybridMultilevel"/>
    <w:tmpl w:val="B72A731E"/>
    <w:lvl w:ilvl="0" w:tplc="0A5E2E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1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58"/>
    <w:rsid w:val="00027F59"/>
    <w:rsid w:val="00375F09"/>
    <w:rsid w:val="0069664E"/>
    <w:rsid w:val="007B7EBA"/>
    <w:rsid w:val="00A874C8"/>
    <w:rsid w:val="00D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424"/>
  <w15:chartTrackingRefBased/>
  <w15:docId w15:val="{855E5428-5615-4959-AA0C-54363E3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Pagano</dc:creator>
  <cp:keywords/>
  <dc:description/>
  <cp:lastModifiedBy>Emmanuel Pagano</cp:lastModifiedBy>
  <cp:revision>4</cp:revision>
  <dcterms:created xsi:type="dcterms:W3CDTF">2024-02-21T11:37:00Z</dcterms:created>
  <dcterms:modified xsi:type="dcterms:W3CDTF">2024-02-21T11:41:00Z</dcterms:modified>
</cp:coreProperties>
</file>