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152" w14:textId="70DE8975" w:rsidR="00130529" w:rsidRDefault="001008FF" w:rsidP="00130529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 xml:space="preserve">Corso di </w:t>
      </w:r>
      <w:r w:rsidR="006C486E">
        <w:rPr>
          <w:rFonts w:ascii="Palatino Linotype" w:hAnsi="Palatino Linotype"/>
          <w:bCs/>
        </w:rPr>
        <w:t>L</w:t>
      </w:r>
      <w:r w:rsidRPr="00873609">
        <w:rPr>
          <w:rFonts w:ascii="Palatino Linotype" w:hAnsi="Palatino Linotype"/>
          <w:bCs/>
        </w:rPr>
        <w:t xml:space="preserve">aurea </w:t>
      </w:r>
      <w:r w:rsidR="00130529">
        <w:rPr>
          <w:rFonts w:ascii="Palatino Linotype" w:hAnsi="Palatino Linotype"/>
          <w:bCs/>
        </w:rPr>
        <w:t>Magistrale a ciclo unico in Giurisprudenza</w:t>
      </w:r>
    </w:p>
    <w:p w14:paraId="213ABBEA" w14:textId="5456EF29" w:rsidR="001008FF" w:rsidRPr="00873609" w:rsidRDefault="001008FF" w:rsidP="00130529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>Insegnamento</w:t>
      </w:r>
    </w:p>
    <w:p w14:paraId="6547CD7B" w14:textId="77777777" w:rsidR="001008FF" w:rsidRPr="0000336B" w:rsidRDefault="001008FF" w:rsidP="001008FF">
      <w:pPr>
        <w:jc w:val="center"/>
        <w:rPr>
          <w:rFonts w:ascii="Palatino Linotype" w:hAnsi="Palatino Linotype"/>
          <w:b/>
        </w:rPr>
      </w:pPr>
      <w:r w:rsidRPr="0000336B">
        <w:rPr>
          <w:rFonts w:ascii="Palatino Linotype" w:hAnsi="Palatino Linotype"/>
          <w:b/>
        </w:rPr>
        <w:t xml:space="preserve">Diritto </w:t>
      </w:r>
      <w:r w:rsidR="00873609" w:rsidRPr="0000336B">
        <w:rPr>
          <w:rFonts w:ascii="Palatino Linotype" w:hAnsi="Palatino Linotype"/>
          <w:b/>
        </w:rPr>
        <w:t>Commerciale</w:t>
      </w:r>
    </w:p>
    <w:p w14:paraId="0282E8F6" w14:textId="1E66C354" w:rsidR="00ED54AD" w:rsidRDefault="001008FF" w:rsidP="001008FF">
      <w:pPr>
        <w:jc w:val="center"/>
        <w:rPr>
          <w:rFonts w:ascii="Palatino Linotype" w:hAnsi="Palatino Linotype"/>
          <w:bCs/>
        </w:rPr>
      </w:pPr>
      <w:r w:rsidRPr="001008FF">
        <w:rPr>
          <w:rFonts w:ascii="Palatino Linotype" w:hAnsi="Palatino Linotype"/>
          <w:b/>
        </w:rPr>
        <w:t>A</w:t>
      </w:r>
      <w:r w:rsidRPr="00873609">
        <w:rPr>
          <w:rFonts w:ascii="Palatino Linotype" w:hAnsi="Palatino Linotype"/>
          <w:bCs/>
        </w:rPr>
        <w:t>nno Accademico 20</w:t>
      </w:r>
      <w:r w:rsidR="00703B41">
        <w:rPr>
          <w:rFonts w:ascii="Palatino Linotype" w:hAnsi="Palatino Linotype"/>
          <w:bCs/>
        </w:rPr>
        <w:t>2</w:t>
      </w:r>
      <w:r w:rsidR="002F5464">
        <w:rPr>
          <w:rFonts w:ascii="Palatino Linotype" w:hAnsi="Palatino Linotype"/>
          <w:bCs/>
        </w:rPr>
        <w:t>4</w:t>
      </w:r>
      <w:r w:rsidRPr="00873609">
        <w:rPr>
          <w:rFonts w:ascii="Palatino Linotype" w:hAnsi="Palatino Linotype"/>
          <w:bCs/>
        </w:rPr>
        <w:t>-202</w:t>
      </w:r>
      <w:r w:rsidR="002F5464">
        <w:rPr>
          <w:rFonts w:ascii="Palatino Linotype" w:hAnsi="Palatino Linotype"/>
          <w:bCs/>
        </w:rPr>
        <w:t>5</w:t>
      </w:r>
      <w:r w:rsidRPr="00873609">
        <w:rPr>
          <w:rFonts w:ascii="Palatino Linotype" w:hAnsi="Palatino Linotype"/>
          <w:bCs/>
        </w:rPr>
        <w:t xml:space="preserve">, </w:t>
      </w:r>
    </w:p>
    <w:p w14:paraId="0EA2E0D9" w14:textId="2E714D23" w:rsidR="007C77B1" w:rsidRPr="004E21CB" w:rsidRDefault="001008FF" w:rsidP="001008FF">
      <w:pPr>
        <w:jc w:val="center"/>
        <w:rPr>
          <w:rFonts w:ascii="Palatino Linotype" w:hAnsi="Palatino Linotype"/>
        </w:rPr>
      </w:pPr>
      <w:r w:rsidRPr="00873609">
        <w:rPr>
          <w:rFonts w:ascii="Palatino Linotype" w:hAnsi="Palatino Linotype"/>
          <w:bCs/>
        </w:rPr>
        <w:t>I</w:t>
      </w:r>
      <w:r w:rsidR="00703B41">
        <w:rPr>
          <w:rFonts w:ascii="Palatino Linotype" w:hAnsi="Palatino Linotype"/>
          <w:bCs/>
        </w:rPr>
        <w:t>I</w:t>
      </w:r>
      <w:r w:rsidRPr="00873609">
        <w:rPr>
          <w:rFonts w:ascii="Palatino Linotype" w:hAnsi="Palatino Linotype"/>
          <w:bCs/>
        </w:rPr>
        <w:t xml:space="preserve">I Anno, </w:t>
      </w:r>
      <w:r w:rsidR="004C2776">
        <w:rPr>
          <w:rFonts w:ascii="Palatino Linotype" w:hAnsi="Palatino Linotype"/>
          <w:bCs/>
        </w:rPr>
        <w:t>corso annuale</w:t>
      </w:r>
      <w:r w:rsidRPr="00873609">
        <w:rPr>
          <w:rFonts w:ascii="Palatino Linotype" w:hAnsi="Palatino Linotype"/>
          <w:bCs/>
        </w:rPr>
        <w:t xml:space="preserve">, </w:t>
      </w:r>
      <w:r w:rsidR="00130529">
        <w:rPr>
          <w:rFonts w:ascii="Palatino Linotype" w:hAnsi="Palatino Linotype"/>
          <w:bCs/>
        </w:rPr>
        <w:t>15</w:t>
      </w:r>
      <w:r w:rsidRPr="00873609">
        <w:rPr>
          <w:rFonts w:ascii="Palatino Linotype" w:hAnsi="Palatino Linotype"/>
          <w:bCs/>
        </w:rPr>
        <w:t xml:space="preserve"> Cfu</w:t>
      </w:r>
    </w:p>
    <w:p w14:paraId="19988D4C" w14:textId="2FF51C5E" w:rsidR="00027004" w:rsidRPr="00873609" w:rsidRDefault="00027004" w:rsidP="00C1403D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>Docent</w:t>
      </w:r>
      <w:r w:rsidR="00D714CA">
        <w:rPr>
          <w:rFonts w:ascii="Palatino Linotype" w:hAnsi="Palatino Linotype"/>
          <w:bCs/>
        </w:rPr>
        <w:t>e</w:t>
      </w:r>
      <w:r w:rsidR="00A576DD" w:rsidRPr="00873609">
        <w:rPr>
          <w:rFonts w:ascii="Palatino Linotype" w:hAnsi="Palatino Linotype"/>
          <w:bCs/>
        </w:rPr>
        <w:t xml:space="preserve">: </w:t>
      </w:r>
      <w:r w:rsidR="00ED54AD">
        <w:rPr>
          <w:rFonts w:ascii="Palatino Linotype" w:hAnsi="Palatino Linotype"/>
          <w:bCs/>
        </w:rPr>
        <w:t>Prof.</w:t>
      </w:r>
      <w:r w:rsidR="00D714CA">
        <w:rPr>
          <w:rFonts w:ascii="Palatino Linotype" w:hAnsi="Palatino Linotype"/>
          <w:bCs/>
        </w:rPr>
        <w:t>ssa</w:t>
      </w:r>
      <w:r w:rsidR="00ED54AD">
        <w:rPr>
          <w:rFonts w:ascii="Palatino Linotype" w:hAnsi="Palatino Linotype"/>
          <w:bCs/>
        </w:rPr>
        <w:t xml:space="preserve"> </w:t>
      </w:r>
      <w:r w:rsidR="00A576DD" w:rsidRPr="00873609">
        <w:rPr>
          <w:rFonts w:ascii="Palatino Linotype" w:hAnsi="Palatino Linotype"/>
          <w:bCs/>
        </w:rPr>
        <w:t>Melania Ranieli</w:t>
      </w:r>
      <w:r w:rsidR="00130529">
        <w:rPr>
          <w:rFonts w:ascii="Palatino Linotype" w:hAnsi="Palatino Linotype"/>
          <w:bCs/>
        </w:rPr>
        <w:t xml:space="preserve"> </w:t>
      </w:r>
    </w:p>
    <w:p w14:paraId="0C715363" w14:textId="77777777" w:rsidR="005430B3" w:rsidRPr="004E21CB" w:rsidRDefault="005430B3" w:rsidP="00C1403D">
      <w:pPr>
        <w:jc w:val="center"/>
        <w:rPr>
          <w:rFonts w:ascii="Palatino Linotype" w:hAnsi="Palatino Linotype"/>
        </w:rPr>
      </w:pPr>
    </w:p>
    <w:tbl>
      <w:tblPr>
        <w:tblW w:w="109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8458"/>
      </w:tblGrid>
      <w:tr w:rsidR="005430B3" w:rsidRPr="004E21CB" w14:paraId="21776EC4" w14:textId="77777777" w:rsidTr="009C07C8">
        <w:tc>
          <w:tcPr>
            <w:tcW w:w="2449" w:type="dxa"/>
            <w:shd w:val="clear" w:color="auto" w:fill="auto"/>
          </w:tcPr>
          <w:p w14:paraId="7298A7F9" w14:textId="77777777" w:rsidR="005430B3" w:rsidRPr="004E21CB" w:rsidRDefault="005430B3" w:rsidP="00800FB9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Informazioni</w:t>
            </w:r>
            <w:r w:rsidR="00800FB9" w:rsidRPr="004E21CB">
              <w:rPr>
                <w:rFonts w:ascii="Palatino Linotype" w:hAnsi="Palatino Linotype"/>
                <w:b/>
              </w:rPr>
              <w:t xml:space="preserve"> Corso</w:t>
            </w:r>
          </w:p>
        </w:tc>
        <w:tc>
          <w:tcPr>
            <w:tcW w:w="8458" w:type="dxa"/>
            <w:shd w:val="clear" w:color="auto" w:fill="auto"/>
          </w:tcPr>
          <w:p w14:paraId="3634C507" w14:textId="1200DCBF" w:rsidR="00117703" w:rsidRPr="004E21CB" w:rsidRDefault="00130529" w:rsidP="00130529">
            <w:pPr>
              <w:jc w:val="both"/>
              <w:rPr>
                <w:rFonts w:ascii="Palatino Linotype" w:hAnsi="Palatino Linotype"/>
              </w:rPr>
            </w:pPr>
            <w:r w:rsidRPr="00130529">
              <w:rPr>
                <w:rFonts w:ascii="Palatino Linotype" w:hAnsi="Palatino Linotype"/>
              </w:rPr>
              <w:t>Il corso di Diritto Commerciale (</w:t>
            </w:r>
            <w:r w:rsidR="0079544D">
              <w:rPr>
                <w:rFonts w:ascii="Palatino Linotype" w:hAnsi="Palatino Linotype"/>
              </w:rPr>
              <w:t xml:space="preserve">SSD </w:t>
            </w:r>
            <w:r w:rsidR="0079544D" w:rsidRPr="005E5474">
              <w:rPr>
                <w:rFonts w:ascii="Palatino Linotype" w:hAnsi="Palatino Linotype"/>
              </w:rPr>
              <w:t>GIUR-02/A - Diritto commerciale</w:t>
            </w:r>
            <w:r w:rsidRPr="00130529">
              <w:rPr>
                <w:rFonts w:ascii="Palatino Linotype" w:hAnsi="Palatino Linotype"/>
              </w:rPr>
              <w:t>) destinato al Corso di Laurea in</w:t>
            </w:r>
            <w:r w:rsidR="0079544D">
              <w:rPr>
                <w:rFonts w:ascii="Palatino Linotype" w:hAnsi="Palatino Linotype"/>
              </w:rPr>
              <w:t xml:space="preserve"> </w:t>
            </w:r>
            <w:r w:rsidRPr="00130529">
              <w:rPr>
                <w:rFonts w:ascii="Palatino Linotype" w:hAnsi="Palatino Linotype"/>
              </w:rPr>
              <w:t>Giurisprudenza ha durata annuale, per un monte ore pari a 105, affidate alla</w:t>
            </w:r>
            <w:r w:rsidR="00D714CA">
              <w:rPr>
                <w:rFonts w:ascii="Palatino Linotype" w:hAnsi="Palatino Linotype"/>
              </w:rPr>
              <w:t xml:space="preserve"> </w:t>
            </w:r>
            <w:r w:rsidRPr="00130529">
              <w:rPr>
                <w:rFonts w:ascii="Palatino Linotype" w:hAnsi="Palatino Linotype"/>
              </w:rPr>
              <w:t>prof.ssa Melania Ranieli</w:t>
            </w:r>
            <w:r w:rsidR="00D714CA">
              <w:rPr>
                <w:rFonts w:ascii="Palatino Linotype" w:hAnsi="Palatino Linotype"/>
              </w:rPr>
              <w:t>.</w:t>
            </w:r>
          </w:p>
        </w:tc>
      </w:tr>
      <w:tr w:rsidR="00214782" w:rsidRPr="004E21CB" w14:paraId="2ECB3707" w14:textId="77777777" w:rsidTr="00117703">
        <w:trPr>
          <w:trHeight w:val="495"/>
        </w:trPr>
        <w:tc>
          <w:tcPr>
            <w:tcW w:w="2449" w:type="dxa"/>
            <w:shd w:val="clear" w:color="auto" w:fill="auto"/>
          </w:tcPr>
          <w:p w14:paraId="7DE12B24" w14:textId="7A1D9201" w:rsidR="00027004" w:rsidRPr="004E21CB" w:rsidRDefault="00214782" w:rsidP="00800FB9">
            <w:pPr>
              <w:pStyle w:val="Corpodeltesto20"/>
              <w:shd w:val="clear" w:color="auto" w:fill="auto"/>
              <w:spacing w:line="220" w:lineRule="exact"/>
              <w:jc w:val="center"/>
              <w:rPr>
                <w:rFonts w:ascii="Palatino Linotype" w:eastAsia="Bookman Old Style" w:hAnsi="Palatino Linotype" w:cs="Bookman Old Style"/>
                <w:b/>
                <w:bCs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Informazioni</w:t>
            </w:r>
            <w:r w:rsidR="00800FB9"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 xml:space="preserve"> D</w:t>
            </w: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ocent</w:t>
            </w:r>
            <w:r w:rsidR="00400865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8458" w:type="dxa"/>
            <w:shd w:val="clear" w:color="auto" w:fill="auto"/>
            <w:vAlign w:val="bottom"/>
          </w:tcPr>
          <w:p w14:paraId="55451958" w14:textId="2B8BD73F" w:rsidR="007D738F" w:rsidRDefault="007D738F" w:rsidP="00141342">
            <w:pPr>
              <w:pStyle w:val="Corpodeltesto20"/>
              <w:shd w:val="clear" w:color="auto" w:fill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Melania Ranieli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 xml:space="preserve"> è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00865">
              <w:rPr>
                <w:rFonts w:ascii="Palatino Linotype" w:hAnsi="Palatino Linotype"/>
                <w:sz w:val="24"/>
                <w:szCs w:val="24"/>
              </w:rPr>
              <w:t>professore</w:t>
            </w:r>
            <w:r w:rsidR="002F5464">
              <w:rPr>
                <w:rFonts w:ascii="Palatino Linotype" w:hAnsi="Palatino Linotype"/>
                <w:sz w:val="24"/>
                <w:szCs w:val="24"/>
              </w:rPr>
              <w:t>ssa</w:t>
            </w:r>
            <w:r w:rsidR="00400865">
              <w:rPr>
                <w:rFonts w:ascii="Palatino Linotype" w:hAnsi="Palatino Linotype"/>
                <w:sz w:val="24"/>
                <w:szCs w:val="24"/>
              </w:rPr>
              <w:t xml:space="preserve"> associat</w:t>
            </w:r>
            <w:r w:rsidR="002F5464">
              <w:rPr>
                <w:rFonts w:ascii="Palatino Linotype" w:hAnsi="Palatino Linotype"/>
                <w:sz w:val="24"/>
                <w:szCs w:val="24"/>
              </w:rPr>
              <w:t>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di Diritto Commerciale (IUS/04)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presso il Dipartimento di </w:t>
            </w:r>
            <w:r w:rsidR="00B2460A">
              <w:rPr>
                <w:rFonts w:ascii="Palatino Linotype" w:hAnsi="Palatino Linotype"/>
                <w:sz w:val="24"/>
                <w:szCs w:val="24"/>
              </w:rPr>
              <w:t>Giurisprudenza,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Economia e Sociologia dell’Università </w:t>
            </w:r>
            <w:r w:rsidRPr="007D738F">
              <w:rPr>
                <w:rFonts w:ascii="Palatino Linotype" w:hAnsi="Palatino Linotype"/>
                <w:i/>
                <w:iCs/>
                <w:sz w:val="24"/>
                <w:szCs w:val="24"/>
              </w:rPr>
              <w:t>Magna Graecia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di Catanzaro.</w:t>
            </w:r>
          </w:p>
          <w:p w14:paraId="56EA3403" w14:textId="49E1388F" w:rsidR="004E21CB" w:rsidRPr="004E21CB" w:rsidRDefault="005814C1" w:rsidP="00141342">
            <w:pPr>
              <w:pStyle w:val="Corpodeltesto20"/>
              <w:shd w:val="clear" w:color="auto" w:fill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Può essere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contattat</w:t>
            </w: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a</w:t>
            </w:r>
            <w:r>
              <w:rPr>
                <w:rFonts w:ascii="Palatino Linotype" w:hAnsi="Palatino Linotype"/>
                <w:sz w:val="24"/>
                <w:szCs w:val="24"/>
              </w:rPr>
              <w:t>l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seguent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indirizz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hyperlink r:id="rId6" w:history="1">
              <w:r w:rsidR="00117703" w:rsidRPr="004E21CB">
                <w:rPr>
                  <w:rStyle w:val="Collegamentoipertestuale"/>
                  <w:rFonts w:ascii="Palatino Linotype" w:hAnsi="Palatino Linotype"/>
                  <w:sz w:val="24"/>
                  <w:szCs w:val="24"/>
                </w:rPr>
                <w:t>melania.ranieli@unicz.it</w:t>
              </w:r>
            </w:hyperlink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</w:p>
          <w:p w14:paraId="1D879437" w14:textId="3ADE2B6D" w:rsidR="00D429E9" w:rsidRDefault="00117703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E21CB">
              <w:rPr>
                <w:rFonts w:ascii="Palatino Linotype" w:hAnsi="Palatino Linotype"/>
                <w:sz w:val="24"/>
                <w:szCs w:val="24"/>
              </w:rPr>
              <w:t xml:space="preserve">Per informazioni e chiarimenti 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riceve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presso lo studio n. 7 sito al livello 0 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dell’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e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dificio dell’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a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 xml:space="preserve">rea 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g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iuridica del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c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ampus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secondo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le date e 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>gli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 xml:space="preserve"> orari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periodicamente 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>calendarizzati e reperibili nella sezione “ricevimento” dell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a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>pagin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a docente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hyperlink r:id="rId7" w:history="1">
              <w:r w:rsidR="00D429E9" w:rsidRPr="0060068B">
                <w:rPr>
                  <w:rStyle w:val="Collegamentoipertestuale"/>
                  <w:rFonts w:ascii="Palatino Linotype" w:hAnsi="Palatino Linotype"/>
                  <w:sz w:val="24"/>
                  <w:szCs w:val="24"/>
                </w:rPr>
                <w:t>https://www.diges.unicz.it/web/docenti/ranieli-melania</w:t>
              </w:r>
            </w:hyperlink>
          </w:p>
          <w:p w14:paraId="4519D950" w14:textId="576A212D" w:rsidR="00D429E9" w:rsidRPr="00D429E9" w:rsidRDefault="00D429E9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Per informazioni su programmi, orari di ricevimento per studenti e tesisti,</w:t>
            </w:r>
          </w:p>
          <w:p w14:paraId="0BB2B160" w14:textId="77777777" w:rsidR="00D429E9" w:rsidRPr="00D429E9" w:rsidRDefault="00D429E9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modalità di erogazione delle lezioni, turnazioni negli appelli di esami ed altre</w:t>
            </w:r>
          </w:p>
          <w:p w14:paraId="614B6526" w14:textId="7D2837E7" w:rsidR="00D429E9" w:rsidRPr="00D429E9" w:rsidRDefault="00D429E9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notizie utili consultare la pagina docente</w:t>
            </w:r>
            <w:r w:rsidR="0000336B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BAD9F75" w14:textId="4438E19C" w:rsidR="00D429E9" w:rsidRPr="004E21CB" w:rsidRDefault="00D429E9" w:rsidP="005814C1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Gli studenti potranno essere ricevuti anche in modalità telematica</w:t>
            </w:r>
            <w:r w:rsidR="00D714CA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  <w:tr w:rsidR="00214782" w:rsidRPr="004E21CB" w14:paraId="6733A62B" w14:textId="77777777" w:rsidTr="009C07C8">
        <w:tc>
          <w:tcPr>
            <w:tcW w:w="2449" w:type="dxa"/>
            <w:shd w:val="clear" w:color="auto" w:fill="auto"/>
          </w:tcPr>
          <w:p w14:paraId="450AD41F" w14:textId="77777777" w:rsidR="00214782" w:rsidRPr="004E21CB" w:rsidRDefault="00214782" w:rsidP="00800FB9">
            <w:pPr>
              <w:pStyle w:val="Corpodeltesto20"/>
              <w:shd w:val="clear" w:color="auto" w:fill="auto"/>
              <w:spacing w:line="22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Descrizione</w:t>
            </w:r>
            <w:r w:rsidR="00800FB9"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 xml:space="preserve"> del C</w:t>
            </w: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orso</w:t>
            </w:r>
          </w:p>
        </w:tc>
        <w:tc>
          <w:tcPr>
            <w:tcW w:w="8458" w:type="dxa"/>
            <w:shd w:val="clear" w:color="auto" w:fill="auto"/>
          </w:tcPr>
          <w:p w14:paraId="654F6570" w14:textId="26C68307" w:rsidR="00784E5B" w:rsidRPr="00784E5B" w:rsidRDefault="00784E5B" w:rsidP="00784E5B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hAnsi="Palatino Linotype"/>
              </w:rPr>
              <w:t>Il corso esamina ed approfondisce il diritto dell’impresa</w:t>
            </w:r>
            <w:r w:rsidR="0000336B">
              <w:rPr>
                <w:rFonts w:ascii="Palatino Linotype" w:hAnsi="Palatino Linotype"/>
              </w:rPr>
              <w:t>,</w:t>
            </w:r>
            <w:r w:rsidRPr="00784E5B">
              <w:rPr>
                <w:rFonts w:ascii="Palatino Linotype" w:hAnsi="Palatino Linotype"/>
              </w:rPr>
              <w:t xml:space="preserve"> il diritto societario, la</w:t>
            </w:r>
          </w:p>
          <w:p w14:paraId="4B78752A" w14:textId="7938EFA8" w:rsidR="00141342" w:rsidRPr="004E21CB" w:rsidRDefault="00784E5B" w:rsidP="0062424B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hAnsi="Palatino Linotype"/>
              </w:rPr>
              <w:t xml:space="preserve">disciplina dei titoli di credito </w:t>
            </w:r>
            <w:r w:rsidR="004C2776">
              <w:rPr>
                <w:rFonts w:ascii="Palatino Linotype" w:hAnsi="Palatino Linotype"/>
              </w:rPr>
              <w:t xml:space="preserve">del mercato mobiliare </w:t>
            </w:r>
            <w:r w:rsidR="00D714CA" w:rsidRPr="00784E5B">
              <w:rPr>
                <w:rFonts w:ascii="Palatino Linotype" w:hAnsi="Palatino Linotype"/>
              </w:rPr>
              <w:t xml:space="preserve">e dei contratti </w:t>
            </w:r>
            <w:r w:rsidR="00D714CA">
              <w:rPr>
                <w:rFonts w:ascii="Palatino Linotype" w:hAnsi="Palatino Linotype"/>
              </w:rPr>
              <w:t>commerciali</w:t>
            </w:r>
            <w:r w:rsidR="00D714CA">
              <w:rPr>
                <w:rFonts w:ascii="Palatino Linotype" w:hAnsi="Palatino Linotype"/>
              </w:rPr>
              <w:t xml:space="preserve"> </w:t>
            </w:r>
            <w:r w:rsidRPr="00784E5B">
              <w:rPr>
                <w:rFonts w:ascii="Palatino Linotype" w:hAnsi="Palatino Linotype"/>
              </w:rPr>
              <w:t>e si estende</w:t>
            </w:r>
            <w:r w:rsidR="004C2776">
              <w:rPr>
                <w:rFonts w:ascii="Palatino Linotype" w:hAnsi="Palatino Linotype"/>
              </w:rPr>
              <w:t xml:space="preserve"> </w:t>
            </w:r>
            <w:r w:rsidRPr="00784E5B">
              <w:rPr>
                <w:rFonts w:ascii="Palatino Linotype" w:hAnsi="Palatino Linotype"/>
              </w:rPr>
              <w:t xml:space="preserve">al diritto </w:t>
            </w:r>
            <w:r w:rsidR="004C2776">
              <w:rPr>
                <w:rFonts w:ascii="Palatino Linotype" w:hAnsi="Palatino Linotype"/>
              </w:rPr>
              <w:t>della crisi d’impresa e dell’insolvenza</w:t>
            </w:r>
            <w:r w:rsidRPr="00784E5B">
              <w:rPr>
                <w:rFonts w:ascii="Palatino Linotype" w:hAnsi="Palatino Linotype"/>
              </w:rPr>
              <w:t>. Il corso è svolto con lezioni frontali e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784E5B">
              <w:rPr>
                <w:rFonts w:ascii="Palatino Linotype" w:hAnsi="Palatino Linotype"/>
              </w:rPr>
              <w:t>attività seminariali</w:t>
            </w:r>
            <w:r w:rsidR="00D714CA">
              <w:rPr>
                <w:rFonts w:ascii="Palatino Linotype" w:hAnsi="Palatino Linotype"/>
              </w:rPr>
              <w:t xml:space="preserve"> e laboratoriali.</w:t>
            </w:r>
          </w:p>
        </w:tc>
      </w:tr>
      <w:tr w:rsidR="001D2965" w:rsidRPr="004E21CB" w14:paraId="23E6D06D" w14:textId="77777777" w:rsidTr="00141342">
        <w:trPr>
          <w:trHeight w:val="1266"/>
        </w:trPr>
        <w:tc>
          <w:tcPr>
            <w:tcW w:w="2449" w:type="dxa"/>
            <w:shd w:val="clear" w:color="auto" w:fill="auto"/>
            <w:vAlign w:val="bottom"/>
          </w:tcPr>
          <w:p w14:paraId="437ABEA0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Obiettivi del Corso</w:t>
            </w:r>
          </w:p>
          <w:p w14:paraId="56EFD564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e Risultati di</w:t>
            </w:r>
          </w:p>
          <w:p w14:paraId="49DA524A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Apprendimento</w:t>
            </w:r>
          </w:p>
          <w:p w14:paraId="5793CF7A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attesi</w:t>
            </w:r>
          </w:p>
          <w:p w14:paraId="5C8B590E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(in specie:</w:t>
            </w:r>
          </w:p>
          <w:p w14:paraId="68E450D7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conoscenza e</w:t>
            </w:r>
          </w:p>
          <w:p w14:paraId="19FE3162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47B937F2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comprensione;</w:t>
            </w:r>
          </w:p>
          <w:p w14:paraId="27A4135C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conoscenza e</w:t>
            </w:r>
          </w:p>
          <w:p w14:paraId="5C877F1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5523B14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comprensione</w:t>
            </w:r>
          </w:p>
          <w:p w14:paraId="5554F0C5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applicate;</w:t>
            </w:r>
          </w:p>
          <w:p w14:paraId="36A598B3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autonomia di</w:t>
            </w:r>
          </w:p>
          <w:p w14:paraId="09DFCA6C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giudizio; abilità</w:t>
            </w:r>
          </w:p>
          <w:p w14:paraId="696537F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comunicative;</w:t>
            </w:r>
          </w:p>
          <w:p w14:paraId="6B2121C6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71198C5B" w14:textId="77777777" w:rsidR="001D2965" w:rsidRPr="004E21CB" w:rsidRDefault="001008FF" w:rsidP="001008FF">
            <w:pPr>
              <w:pStyle w:val="Corpodeltesto20"/>
              <w:shd w:val="clear" w:color="auto" w:fill="auto"/>
              <w:jc w:val="center"/>
              <w:rPr>
                <w:rFonts w:ascii="Palatino Linotype" w:eastAsia="Bookman Old Style" w:hAnsi="Palatino Linotype" w:cs="Bookman Old Style"/>
                <w:b/>
                <w:bCs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apprendimento)</w:t>
            </w:r>
          </w:p>
        </w:tc>
        <w:tc>
          <w:tcPr>
            <w:tcW w:w="8458" w:type="dxa"/>
            <w:shd w:val="clear" w:color="auto" w:fill="auto"/>
            <w:vAlign w:val="bottom"/>
          </w:tcPr>
          <w:p w14:paraId="226B5671" w14:textId="74B019B0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Il corso si propone di fornire metodologie di apprendimento e di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comprensione dei principali istituti del diritto commerciale, di migliorare le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capacità di interpretazione e di ricostruzione di fattispecie giuridiche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complesse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,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tutte implicate nell’esercizio dell’attività economica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imprenditoriale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;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sia nella fase fisiologica e dinamica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;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sia nella fase di crisi 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liquidazione. Il corso consente allo studente di comprendere le peculiarità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della materia e le connessioni circolari tra diritto positivo, soggetti e strumenti</w:t>
            </w:r>
          </w:p>
          <w:p w14:paraId="0ADFEC38" w14:textId="77777777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 esercizio dell’attività d’impresa.</w:t>
            </w:r>
          </w:p>
          <w:p w14:paraId="42A8691B" w14:textId="19124320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Al fine di stimolare l’interesse e, al contempo, la comprensione dei temi,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nonché di rafforzare le capacità applicative ed il consolidamento della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terminologia tecnico giuridica, durante il corso particolare cura sarà dedicata</w:t>
            </w:r>
            <w: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all’illustrazione di casi concreti, mediante l’esame di pronunce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giurisprudenziali.</w:t>
            </w:r>
          </w:p>
          <w:p w14:paraId="51D505DA" w14:textId="31C5AD1A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Si attendono i seguenti risultati di apprendimento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.</w:t>
            </w:r>
          </w:p>
          <w:p w14:paraId="7DB53383" w14:textId="4E44D07F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relazione alla conoscenza degli istituti ed alla comprensione, lo studente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matura la conoscenza delle peculiarità dell’organizzazione dell’attività di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impresa, nelle declinazioni dimensionali, soggettive, e tipologiche. Conosce 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lastRenderedPageBreak/>
              <w:t>principali istituti di diritto industriale, i regimi di responsabilità per debiti 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per danni, le modalità di adozione delle decisioni nei diversi tipi societari, la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struttura corporativa. Lo studente apprende la teoria dei titoli di credito 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conosce le peculiarità delle cambiali e degli assegni. Lo studente comprende la</w:t>
            </w:r>
          </w:p>
          <w:p w14:paraId="781FF7A5" w14:textId="222C53E4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funzione dei contratti commerciali e la loro strumentalità. Lo studente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comprende le dinamiche della crisi d’impresa, individua gli interessi da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preservare e le procedure per la composizione della crisi e per la gestione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dell’insolvenza.</w:t>
            </w:r>
          </w:p>
          <w:p w14:paraId="18F5E77C" w14:textId="73C1B3C9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relazione alla capacità di applicare la conoscenza e la comprensione, lo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studente consegue la capacità di identificare i peculiari interessi sottesi al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diritto commerciale e di rapportare le questioni giuridiche alle esigenze di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tutela dei soggetti terzi.</w:t>
            </w:r>
          </w:p>
          <w:p w14:paraId="583E372F" w14:textId="0BD381B2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merito all’autonomia di giudizio, lo studente è in grado di orientarsi tra le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diverse soluzioni prospettabili sul piano giuridico in relazione alle più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significative questioni coinvolte nella materia. Discerne i problemi e individua</w:t>
            </w:r>
          </w:p>
          <w:p w14:paraId="65D7F21E" w14:textId="77777777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accettabili linee di soluzione giuridica.</w:t>
            </w:r>
          </w:p>
          <w:p w14:paraId="21A18C72" w14:textId="10E8E764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Sul piano delle abilità comunicative, lo studente comprende l’importanza della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puntualità del linguaggio giuridico </w:t>
            </w:r>
            <w:proofErr w:type="spellStart"/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gius</w:t>
            </w:r>
            <w:proofErr w:type="spellEnd"/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-commercialistico e si appropria dei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termini tecnici.</w:t>
            </w:r>
          </w:p>
          <w:p w14:paraId="41D50327" w14:textId="1A6832DC" w:rsidR="0038651F" w:rsidRPr="004E21CB" w:rsidRDefault="00784E5B" w:rsidP="0062424B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merito alle capacità di apprendimento, lo studente sarà in condizione di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reperire autonomamente materiali di approfondimento mediante i canali di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ricerca istituzionali e di maturare un approccio critico e cauto rispetto alle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informazioni reperibili altrove. </w:t>
            </w:r>
            <w:r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   </w:t>
            </w:r>
          </w:p>
        </w:tc>
      </w:tr>
      <w:tr w:rsidR="00EE3864" w:rsidRPr="004E21CB" w14:paraId="5DF627F5" w14:textId="77777777" w:rsidTr="009C07C8">
        <w:tc>
          <w:tcPr>
            <w:tcW w:w="2449" w:type="dxa"/>
            <w:shd w:val="clear" w:color="auto" w:fill="auto"/>
          </w:tcPr>
          <w:p w14:paraId="68D6B698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lastRenderedPageBreak/>
              <w:t>Programma (contenuti, modalità di svolgimento)</w:t>
            </w:r>
          </w:p>
          <w:p w14:paraId="1027CC9F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Eventuale distinzione programma frequentanti - non frequentanti</w:t>
            </w:r>
          </w:p>
        </w:tc>
        <w:tc>
          <w:tcPr>
            <w:tcW w:w="8458" w:type="dxa"/>
            <w:shd w:val="clear" w:color="auto" w:fill="auto"/>
            <w:vAlign w:val="center"/>
          </w:tcPr>
          <w:p w14:paraId="71278D7A" w14:textId="041BE87F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L’impresa e gli imprenditori. Gli ausiliari dell’imprenditore. L’azienda ed 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segni distintivi e gli altri diritti di proprietà industriale. La disciplina della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concorrenza. L’impresa collettiva e l’impresa sociale.</w:t>
            </w:r>
          </w:p>
          <w:p w14:paraId="05829AA4" w14:textId="234EADFE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Le società: la società semplice, la società in nome collettivo, la società in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accomandita semplice, la società per azioni, le società con azioni quotate nei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mercati regolamentati, la società in accomandita per azioni, la società 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responsabilità limitata. Le società cooperative. Le disposizioni comuni a tutte</w:t>
            </w:r>
          </w:p>
          <w:p w14:paraId="26CDAF56" w14:textId="10CAD980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le società, trasformazione, fusione, scissione</w:t>
            </w:r>
            <w:r w:rsidR="004C277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,</w:t>
            </w:r>
          </w:p>
          <w:p w14:paraId="2468F27F" w14:textId="7DBC0B5E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La disciplina dei titoli di credito. I caratteri generali dei titoli di credito, la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cambiale, l’assegno bancario, l’assegno circolare ed i titoli speciali.</w:t>
            </w:r>
          </w:p>
          <w:p w14:paraId="36353486" w14:textId="1F853607" w:rsidR="00784E5B" w:rsidRPr="00784E5B" w:rsidRDefault="00784E5B" w:rsidP="004C2776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I contratti bancari e </w:t>
            </w:r>
            <w:r w:rsidR="004C277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parabancari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, i contratti </w:t>
            </w:r>
            <w:r w:rsidR="004C277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del mercato mobiliare</w:t>
            </w:r>
          </w:p>
          <w:p w14:paraId="322CBF7D" w14:textId="01ED2FF3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Il diritto della crisi e dell’insolvenza.</w:t>
            </w:r>
            <w:r w:rsidR="002F5464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La procedura</w:t>
            </w:r>
          </w:p>
          <w:p w14:paraId="6B3D8771" w14:textId="1593F4FB" w:rsidR="004C2776" w:rsidRPr="00784E5B" w:rsidRDefault="00784E5B" w:rsidP="004C2776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di </w:t>
            </w:r>
            <w:r w:rsidR="004C277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liquidazione giudiziale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. </w:t>
            </w:r>
            <w:r w:rsidR="004C2776"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Il concordato</w:t>
            </w:r>
          </w:p>
          <w:p w14:paraId="3281F456" w14:textId="77777777" w:rsidR="004C2776" w:rsidRDefault="004C2776" w:rsidP="004C2776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preventivo e gli accordi di ristrutturazione. Il sovraindebitamento.</w:t>
            </w:r>
          </w:p>
          <w:p w14:paraId="2FAA8DCA" w14:textId="6768598B" w:rsidR="00784E5B" w:rsidRDefault="00784E5B" w:rsidP="004C2776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La procedura di liquidazione coatta amministrativa.</w:t>
            </w:r>
            <w:r w:rsidR="0062424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</w:p>
          <w:p w14:paraId="1CA663AE" w14:textId="77777777" w:rsidR="0062424B" w:rsidRDefault="0062424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</w:p>
          <w:p w14:paraId="36896398" w14:textId="3D0E5034" w:rsidR="001008FF" w:rsidRDefault="001008FF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Il programma è comune a frequentanti e non frequentanti.</w:t>
            </w:r>
          </w:p>
          <w:p w14:paraId="4FBE98BB" w14:textId="77777777" w:rsidR="001008FF" w:rsidRPr="004E21CB" w:rsidRDefault="001008FF" w:rsidP="001B332E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3864" w:rsidRPr="004E21CB" w14:paraId="17240E45" w14:textId="77777777" w:rsidTr="009C07C8">
        <w:tc>
          <w:tcPr>
            <w:tcW w:w="2449" w:type="dxa"/>
            <w:shd w:val="clear" w:color="auto" w:fill="auto"/>
          </w:tcPr>
          <w:p w14:paraId="4767BCAB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 xml:space="preserve">Stima dell’Impegno Orario richiesto per </w:t>
            </w:r>
            <w:r w:rsidRPr="004E21CB">
              <w:rPr>
                <w:rFonts w:ascii="Palatino Linotype" w:hAnsi="Palatino Linotype"/>
                <w:b/>
              </w:rPr>
              <w:lastRenderedPageBreak/>
              <w:t>lo Studio individuale</w:t>
            </w:r>
          </w:p>
        </w:tc>
        <w:tc>
          <w:tcPr>
            <w:tcW w:w="8458" w:type="dxa"/>
            <w:shd w:val="clear" w:color="auto" w:fill="auto"/>
          </w:tcPr>
          <w:p w14:paraId="71BDBDB7" w14:textId="43333494" w:rsidR="00EE3864" w:rsidRPr="004E21CB" w:rsidRDefault="00214A45" w:rsidP="00214A45">
            <w:pPr>
              <w:jc w:val="both"/>
              <w:rPr>
                <w:rFonts w:ascii="Palatino Linotype" w:hAnsi="Palatino Linotype"/>
              </w:rPr>
            </w:pPr>
            <w:r w:rsidRPr="00214A45">
              <w:rPr>
                <w:rFonts w:ascii="Palatino Linotype" w:hAnsi="Palatino Linotype"/>
              </w:rPr>
              <w:lastRenderedPageBreak/>
              <w:t>Approssimativamente lo studente dovrà dedicare allo studio individuale un</w:t>
            </w:r>
            <w:r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>impegno stimabile in circa 350 ore, per i non frequentanti l’impegno</w:t>
            </w:r>
            <w:r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>individuale potrebbe essere maggiore.</w:t>
            </w:r>
          </w:p>
        </w:tc>
      </w:tr>
      <w:tr w:rsidR="00EE3864" w:rsidRPr="004E21CB" w14:paraId="478C5BF2" w14:textId="77777777" w:rsidTr="009C07C8">
        <w:tc>
          <w:tcPr>
            <w:tcW w:w="2449" w:type="dxa"/>
            <w:shd w:val="clear" w:color="auto" w:fill="auto"/>
          </w:tcPr>
          <w:p w14:paraId="5D44190C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Metodi di Insegnamento utilizzati</w:t>
            </w:r>
          </w:p>
        </w:tc>
        <w:tc>
          <w:tcPr>
            <w:tcW w:w="8458" w:type="dxa"/>
            <w:shd w:val="clear" w:color="auto" w:fill="auto"/>
          </w:tcPr>
          <w:p w14:paraId="1881D31A" w14:textId="64C5F273" w:rsidR="00EE3864" w:rsidRPr="004E21CB" w:rsidRDefault="00214A45" w:rsidP="00214A45">
            <w:pPr>
              <w:jc w:val="both"/>
              <w:rPr>
                <w:rFonts w:ascii="Palatino Linotype" w:hAnsi="Palatino Linotype"/>
              </w:rPr>
            </w:pPr>
            <w:r w:rsidRPr="00214A45">
              <w:rPr>
                <w:rFonts w:ascii="Palatino Linotype" w:hAnsi="Palatino Linotype"/>
              </w:rPr>
              <w:t xml:space="preserve">Il corso </w:t>
            </w:r>
            <w:r>
              <w:rPr>
                <w:rFonts w:ascii="Palatino Linotype" w:hAnsi="Palatino Linotype"/>
              </w:rPr>
              <w:t>si articola in</w:t>
            </w:r>
            <w:r w:rsidRPr="00214A45">
              <w:rPr>
                <w:rFonts w:ascii="Palatino Linotype" w:hAnsi="Palatino Linotype"/>
              </w:rPr>
              <w:t xml:space="preserve"> lezioni frontali, lezioni seminariali</w:t>
            </w:r>
            <w:r>
              <w:rPr>
                <w:rFonts w:ascii="Palatino Linotype" w:hAnsi="Palatino Linotype"/>
              </w:rPr>
              <w:t>,</w:t>
            </w:r>
            <w:r w:rsidRPr="00214A45">
              <w:rPr>
                <w:rFonts w:ascii="Palatino Linotype" w:hAnsi="Palatino Linotype"/>
              </w:rPr>
              <w:t xml:space="preserve"> </w:t>
            </w:r>
            <w:r w:rsidR="00F62AAE">
              <w:rPr>
                <w:rFonts w:ascii="Palatino Linotype" w:hAnsi="Palatino Linotype"/>
              </w:rPr>
              <w:t xml:space="preserve">laboratori, </w:t>
            </w:r>
            <w:r w:rsidRPr="00214A45">
              <w:rPr>
                <w:rFonts w:ascii="Palatino Linotype" w:hAnsi="Palatino Linotype"/>
              </w:rPr>
              <w:t>esame di casi e</w:t>
            </w:r>
            <w:r w:rsidR="00F62AAE"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 xml:space="preserve">pronunce giurisprudenziali. </w:t>
            </w:r>
            <w:r>
              <w:rPr>
                <w:rFonts w:ascii="Palatino Linotype" w:hAnsi="Palatino Linotype"/>
              </w:rPr>
              <w:t xml:space="preserve">I </w:t>
            </w:r>
            <w:r w:rsidR="0092735D">
              <w:rPr>
                <w:rFonts w:ascii="Palatino Linotype" w:hAnsi="Palatino Linotype"/>
              </w:rPr>
              <w:t>docent</w:t>
            </w:r>
            <w:r>
              <w:rPr>
                <w:rFonts w:ascii="Palatino Linotype" w:hAnsi="Palatino Linotype"/>
              </w:rPr>
              <w:t>i</w:t>
            </w:r>
            <w:r w:rsidR="0092735D">
              <w:rPr>
                <w:rFonts w:ascii="Palatino Linotype" w:hAnsi="Palatino Linotype"/>
              </w:rPr>
              <w:t xml:space="preserve"> si avval</w:t>
            </w:r>
            <w:r>
              <w:rPr>
                <w:rFonts w:ascii="Palatino Linotype" w:hAnsi="Palatino Linotype"/>
              </w:rPr>
              <w:t xml:space="preserve">gono di </w:t>
            </w:r>
            <w:r w:rsidR="0092735D">
              <w:rPr>
                <w:rFonts w:ascii="Palatino Linotype" w:hAnsi="Palatino Linotype"/>
              </w:rPr>
              <w:t xml:space="preserve">risorse informatiche.  </w:t>
            </w:r>
          </w:p>
        </w:tc>
      </w:tr>
      <w:tr w:rsidR="00EE3864" w:rsidRPr="004E21CB" w14:paraId="74FF0893" w14:textId="77777777" w:rsidTr="009C07C8">
        <w:tc>
          <w:tcPr>
            <w:tcW w:w="2449" w:type="dxa"/>
            <w:shd w:val="clear" w:color="auto" w:fill="auto"/>
          </w:tcPr>
          <w:p w14:paraId="6EB02209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Risorse per l’Apprendimento (libri di testo consigliati, eventuali ulteriori letture consigliate per approfondimento, altro materiale didattico)</w:t>
            </w:r>
          </w:p>
        </w:tc>
        <w:tc>
          <w:tcPr>
            <w:tcW w:w="8458" w:type="dxa"/>
            <w:shd w:val="clear" w:color="auto" w:fill="auto"/>
          </w:tcPr>
          <w:p w14:paraId="3236231F" w14:textId="138269B2" w:rsidR="002F5464" w:rsidRPr="002F5464" w:rsidRDefault="002F5464" w:rsidP="00F62AAE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2F5464">
              <w:rPr>
                <w:rFonts w:ascii="Palatino Linotype" w:hAnsi="Palatino Linotype"/>
              </w:rPr>
              <w:t xml:space="preserve">Per la preparazione all’esame si può far riferimento </w:t>
            </w:r>
            <w:proofErr w:type="gramStart"/>
            <w:r w:rsidRPr="002F5464">
              <w:rPr>
                <w:rFonts w:ascii="Palatino Linotype" w:hAnsi="Palatino Linotype"/>
              </w:rPr>
              <w:t>ai seguent</w:t>
            </w:r>
            <w:r w:rsidR="00F62AAE">
              <w:rPr>
                <w:rFonts w:ascii="Palatino Linotype" w:hAnsi="Palatino Linotype"/>
              </w:rPr>
              <w:t>e</w:t>
            </w:r>
            <w:proofErr w:type="gramEnd"/>
            <w:r w:rsidRPr="002F5464">
              <w:rPr>
                <w:rFonts w:ascii="Palatino Linotype" w:hAnsi="Palatino Linotype"/>
              </w:rPr>
              <w:t xml:space="preserve"> test</w:t>
            </w:r>
            <w:r w:rsidR="00F62AAE">
              <w:rPr>
                <w:rFonts w:ascii="Palatino Linotype" w:hAnsi="Palatino Linotype"/>
              </w:rPr>
              <w:t>o</w:t>
            </w:r>
          </w:p>
          <w:p w14:paraId="4FCE5A26" w14:textId="1E3233D3" w:rsidR="00B21BC7" w:rsidRDefault="002F5464" w:rsidP="002F546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2F5464">
              <w:rPr>
                <w:rFonts w:ascii="Palatino Linotype" w:hAnsi="Palatino Linotype"/>
              </w:rPr>
              <w:t>• CIAN (a cura di), Manuale di diritto commerciale, Giappichelli, 202</w:t>
            </w:r>
            <w:r w:rsidR="00F62AAE">
              <w:rPr>
                <w:rFonts w:ascii="Palatino Linotype" w:hAnsi="Palatino Linotype"/>
              </w:rPr>
              <w:t>5</w:t>
            </w:r>
          </w:p>
          <w:p w14:paraId="0784F8D1" w14:textId="77777777" w:rsidR="002F5464" w:rsidRPr="002F5464" w:rsidRDefault="002F5464" w:rsidP="002F546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2F5464">
              <w:rPr>
                <w:rFonts w:ascii="Palatino Linotype" w:hAnsi="Palatino Linotype"/>
              </w:rPr>
              <w:t xml:space="preserve">È necessario dotarsi di un </w:t>
            </w:r>
            <w:proofErr w:type="gramStart"/>
            <w:r w:rsidRPr="002F5464">
              <w:rPr>
                <w:rFonts w:ascii="Palatino Linotype" w:hAnsi="Palatino Linotype"/>
              </w:rPr>
              <w:t>Codice Civile</w:t>
            </w:r>
            <w:proofErr w:type="gramEnd"/>
            <w:r w:rsidRPr="002F5464">
              <w:rPr>
                <w:rFonts w:ascii="Palatino Linotype" w:hAnsi="Palatino Linotype"/>
              </w:rPr>
              <w:t xml:space="preserve"> con Leggi Complementari aggiornato</w:t>
            </w:r>
          </w:p>
          <w:p w14:paraId="09587E50" w14:textId="6076F803" w:rsidR="002F5464" w:rsidRDefault="002F5464" w:rsidP="002F546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2F5464">
              <w:rPr>
                <w:rFonts w:ascii="Palatino Linotype" w:hAnsi="Palatino Linotype"/>
              </w:rPr>
              <w:t>al 202</w:t>
            </w:r>
            <w:r w:rsidR="00F62AAE">
              <w:rPr>
                <w:rFonts w:ascii="Palatino Linotype" w:hAnsi="Palatino Linotype"/>
              </w:rPr>
              <w:t>5</w:t>
            </w:r>
            <w:r w:rsidRPr="002F5464">
              <w:rPr>
                <w:rFonts w:ascii="Palatino Linotype" w:hAnsi="Palatino Linotype"/>
              </w:rPr>
              <w:t>.</w:t>
            </w:r>
          </w:p>
          <w:p w14:paraId="38589A46" w14:textId="39EF4044" w:rsidR="00B80066" w:rsidRDefault="00B80066" w:rsidP="002F5464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 w:cs="Cambria"/>
              </w:rPr>
            </w:pPr>
          </w:p>
          <w:p w14:paraId="22352EE9" w14:textId="364AC555" w:rsidR="0084544A" w:rsidRDefault="00E94A01" w:rsidP="007B00B0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 w:cs="Cambria"/>
              </w:rPr>
            </w:pPr>
            <w:r>
              <w:rPr>
                <w:rFonts w:ascii="Palatino Linotype" w:hAnsi="Palatino Linotype" w:cs="Cambria"/>
              </w:rPr>
              <w:t xml:space="preserve">Gli studenti sono invitati a consultare periodicamente la </w:t>
            </w:r>
            <w:r w:rsidR="00724899">
              <w:rPr>
                <w:rFonts w:ascii="Palatino Linotype" w:hAnsi="Palatino Linotype" w:cs="Cambria"/>
              </w:rPr>
              <w:t xml:space="preserve">sezione “Didattica” della </w:t>
            </w:r>
            <w:r>
              <w:rPr>
                <w:rFonts w:ascii="Palatino Linotype" w:hAnsi="Palatino Linotype" w:cs="Cambria"/>
              </w:rPr>
              <w:t xml:space="preserve">pagina docente per eventuali avvisi relativi a </w:t>
            </w:r>
            <w:r w:rsidR="00724899">
              <w:rPr>
                <w:rFonts w:ascii="Palatino Linotype" w:hAnsi="Palatino Linotype" w:cs="Cambria"/>
              </w:rPr>
              <w:t>letture consigliate,</w:t>
            </w:r>
            <w:r>
              <w:rPr>
                <w:rFonts w:ascii="Palatino Linotype" w:hAnsi="Palatino Linotype" w:cs="Cambria"/>
              </w:rPr>
              <w:t xml:space="preserve"> </w:t>
            </w:r>
            <w:r w:rsidR="00724899">
              <w:rPr>
                <w:rFonts w:ascii="Palatino Linotype" w:hAnsi="Palatino Linotype" w:cs="Cambria"/>
              </w:rPr>
              <w:t xml:space="preserve">ulteriori </w:t>
            </w:r>
            <w:r>
              <w:rPr>
                <w:rFonts w:ascii="Palatino Linotype" w:hAnsi="Palatino Linotype" w:cs="Cambria"/>
              </w:rPr>
              <w:t xml:space="preserve">risorse </w:t>
            </w:r>
            <w:r w:rsidR="00724899">
              <w:rPr>
                <w:rFonts w:ascii="Palatino Linotype" w:hAnsi="Palatino Linotype" w:cs="Cambria"/>
              </w:rPr>
              <w:t xml:space="preserve">per l’apprendimento, ulteriori manuali </w:t>
            </w:r>
            <w:r w:rsidR="007B00B0">
              <w:rPr>
                <w:rFonts w:ascii="Palatino Linotype" w:hAnsi="Palatino Linotype" w:cs="Cambria"/>
              </w:rPr>
              <w:t>consigliati</w:t>
            </w:r>
            <w:r w:rsidR="00724899">
              <w:rPr>
                <w:rFonts w:ascii="Palatino Linotype" w:hAnsi="Palatino Linotype" w:cs="Cambria"/>
              </w:rPr>
              <w:t>.</w:t>
            </w:r>
          </w:p>
          <w:p w14:paraId="23F47A28" w14:textId="2A1C7EB2" w:rsidR="00E94A01" w:rsidRPr="0084544A" w:rsidRDefault="00E94A01" w:rsidP="004E21C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Palatino Linotype" w:hAnsi="Palatino Linotype" w:cs="Cambria"/>
              </w:rPr>
            </w:pPr>
          </w:p>
        </w:tc>
      </w:tr>
      <w:tr w:rsidR="00DD5858" w:rsidRPr="004E21CB" w14:paraId="72FFFD99" w14:textId="77777777" w:rsidTr="009C07C8">
        <w:tc>
          <w:tcPr>
            <w:tcW w:w="2449" w:type="dxa"/>
            <w:shd w:val="clear" w:color="auto" w:fill="auto"/>
          </w:tcPr>
          <w:p w14:paraId="76F8EA82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Attività di Supporto</w:t>
            </w:r>
          </w:p>
        </w:tc>
        <w:tc>
          <w:tcPr>
            <w:tcW w:w="8458" w:type="dxa"/>
            <w:shd w:val="clear" w:color="auto" w:fill="auto"/>
          </w:tcPr>
          <w:p w14:paraId="464967D9" w14:textId="7D2CE9E1" w:rsidR="00DD5858" w:rsidRDefault="007B00B0" w:rsidP="0084544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d</w:t>
            </w:r>
            <w:r w:rsidR="00724899">
              <w:rPr>
                <w:rFonts w:ascii="Palatino Linotype" w:hAnsi="Palatino Linotype"/>
              </w:rPr>
              <w:t>ocent</w:t>
            </w:r>
            <w:r>
              <w:rPr>
                <w:rFonts w:ascii="Palatino Linotype" w:hAnsi="Palatino Linotype"/>
              </w:rPr>
              <w:t>i</w:t>
            </w:r>
            <w:r w:rsidR="00724899">
              <w:rPr>
                <w:rFonts w:ascii="Palatino Linotype" w:hAnsi="Palatino Linotype"/>
              </w:rPr>
              <w:t xml:space="preserve"> ed i collaboratori della </w:t>
            </w:r>
            <w:r w:rsidR="0000336B">
              <w:rPr>
                <w:rFonts w:ascii="Palatino Linotype" w:hAnsi="Palatino Linotype"/>
              </w:rPr>
              <w:t>c</w:t>
            </w:r>
            <w:r w:rsidR="00724899">
              <w:rPr>
                <w:rFonts w:ascii="Palatino Linotype" w:hAnsi="Palatino Linotype"/>
              </w:rPr>
              <w:t xml:space="preserve">attedra, </w:t>
            </w:r>
            <w:r w:rsidR="00DD5858" w:rsidRPr="004E21CB">
              <w:rPr>
                <w:rFonts w:ascii="Palatino Linotype" w:hAnsi="Palatino Linotype"/>
              </w:rPr>
              <w:t xml:space="preserve">cultori della materia, </w:t>
            </w:r>
            <w:r w:rsidR="00724899">
              <w:rPr>
                <w:rFonts w:ascii="Palatino Linotype" w:hAnsi="Palatino Linotype"/>
              </w:rPr>
              <w:t>ricevono gli studenti con</w:t>
            </w:r>
            <w:r w:rsidR="00DD5858" w:rsidRPr="004E21CB">
              <w:rPr>
                <w:rFonts w:ascii="Palatino Linotype" w:hAnsi="Palatino Linotype"/>
              </w:rPr>
              <w:t xml:space="preserve"> cadenza settimanale e</w:t>
            </w:r>
            <w:r w:rsidR="00724899">
              <w:rPr>
                <w:rFonts w:ascii="Palatino Linotype" w:hAnsi="Palatino Linotype"/>
              </w:rPr>
              <w:t>/o</w:t>
            </w:r>
            <w:r w:rsidR="00DD5858" w:rsidRPr="004E21CB">
              <w:rPr>
                <w:rFonts w:ascii="Palatino Linotype" w:hAnsi="Palatino Linotype"/>
              </w:rPr>
              <w:t xml:space="preserve"> secondo i calendari pubblicati sulla pagina </w:t>
            </w:r>
            <w:r w:rsidR="0000336B">
              <w:rPr>
                <w:rFonts w:ascii="Palatino Linotype" w:hAnsi="Palatino Linotype"/>
              </w:rPr>
              <w:t>della prof.ssa Ranieli</w:t>
            </w:r>
            <w:r w:rsidR="00DD5858" w:rsidRPr="004E21CB">
              <w:rPr>
                <w:rFonts w:ascii="Palatino Linotype" w:hAnsi="Palatino Linotype"/>
              </w:rPr>
              <w:t>.</w:t>
            </w:r>
            <w:r w:rsidR="008147CC">
              <w:rPr>
                <w:rFonts w:ascii="Palatino Linotype" w:hAnsi="Palatino Linotype"/>
              </w:rPr>
              <w:t xml:space="preserve"> </w:t>
            </w:r>
          </w:p>
          <w:p w14:paraId="0921DBF5" w14:textId="77777777" w:rsidR="00DC2608" w:rsidRPr="004E21CB" w:rsidRDefault="00DC2608" w:rsidP="0084544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ricevimenti possono svolgersi in presenza presso lo studio n. 7 e in modalità telematica, in tale ultimo caso nel giorno ed all’ora indicata gli studenti troveranno sulla bacheca della pagina del docente il link di accesso all’aula virtuale.</w:t>
            </w:r>
          </w:p>
        </w:tc>
      </w:tr>
      <w:tr w:rsidR="00DD5858" w:rsidRPr="004E21CB" w14:paraId="29DE4E07" w14:textId="77777777" w:rsidTr="009C07C8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CE3E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Modalità di Frequenza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FD82" w14:textId="2EAD23CB" w:rsidR="00DD5858" w:rsidRPr="004E21CB" w:rsidRDefault="007B00B0" w:rsidP="0062424B">
            <w:pPr>
              <w:jc w:val="both"/>
              <w:rPr>
                <w:rFonts w:ascii="Palatino Linotype" w:hAnsi="Palatino Linotype"/>
              </w:rPr>
            </w:pPr>
            <w:r w:rsidRPr="007B00B0">
              <w:rPr>
                <w:rFonts w:ascii="Palatino Linotype" w:hAnsi="Palatino Linotype"/>
              </w:rPr>
              <w:t>La frequenza del corso è raccomandata ma facoltativa; per coloro che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7B00B0">
              <w:rPr>
                <w:rFonts w:ascii="Palatino Linotype" w:hAnsi="Palatino Linotype"/>
              </w:rPr>
              <w:t xml:space="preserve">seguiranno il corso </w:t>
            </w:r>
            <w:r w:rsidR="00F62AAE">
              <w:rPr>
                <w:rFonts w:ascii="Palatino Linotype" w:hAnsi="Palatino Linotype"/>
              </w:rPr>
              <w:t xml:space="preserve">(primo e secondo semestre) </w:t>
            </w:r>
            <w:r w:rsidRPr="007B00B0">
              <w:rPr>
                <w:rFonts w:ascii="Palatino Linotype" w:hAnsi="Palatino Linotype"/>
              </w:rPr>
              <w:t xml:space="preserve">è prevista la possibilità di sostenere una prova </w:t>
            </w:r>
            <w:r w:rsidR="00F62AAE">
              <w:rPr>
                <w:rFonts w:ascii="Palatino Linotype" w:hAnsi="Palatino Linotype"/>
              </w:rPr>
              <w:t xml:space="preserve">intermedia </w:t>
            </w:r>
            <w:r w:rsidRPr="007B00B0">
              <w:rPr>
                <w:rFonts w:ascii="Palatino Linotype" w:hAnsi="Palatino Linotype"/>
              </w:rPr>
              <w:t xml:space="preserve">alla fine del primo semestre. </w:t>
            </w:r>
          </w:p>
        </w:tc>
      </w:tr>
      <w:tr w:rsidR="00DD5858" w:rsidRPr="004E21CB" w14:paraId="1B5C2C3F" w14:textId="77777777" w:rsidTr="009C07C8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284D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Modalità di Accertamento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7C1C" w14:textId="37C3AAE5" w:rsidR="00ED54AD" w:rsidRP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Le modalità generali di accertamento sono indicate dall’art. 22 del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Regolamento didattico di Ateneo.</w:t>
            </w:r>
          </w:p>
          <w:p w14:paraId="149448B8" w14:textId="77777777" w:rsidR="00ED54AD" w:rsidRP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L’esame finale si svolge in forma orale.</w:t>
            </w:r>
          </w:p>
          <w:p w14:paraId="24744433" w14:textId="149E4723" w:rsidR="00ED54AD" w:rsidRP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La valutazione è effettuata in trentesimi e tiene conto della preparazione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emersa in sede di esame, del grado di maturazione ed approfondimento dei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temi, della appropriatezza della esposizione della qualità di comprensione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degli istituti, della capacità di effettuare collegamenti tra i temi in programma.</w:t>
            </w:r>
          </w:p>
          <w:p w14:paraId="080DC8CF" w14:textId="1F5265AC" w:rsidR="002B5B24" w:rsidRDefault="00ED54AD" w:rsidP="0062424B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Orientativamente i voti potranno variare secondo quanto di seguito</w:t>
            </w:r>
            <w:r w:rsidR="0062424B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sintetizzato.</w:t>
            </w:r>
          </w:p>
          <w:p w14:paraId="13DD646D" w14:textId="77777777" w:rsidR="00DD5858" w:rsidRDefault="00DD5858" w:rsidP="008147CC">
            <w:pPr>
              <w:rPr>
                <w:rFonts w:ascii="Palatino Linotype" w:hAnsi="Palatino Linotype"/>
              </w:rPr>
            </w:pPr>
          </w:p>
          <w:p w14:paraId="2F62580E" w14:textId="77777777" w:rsidR="008147CC" w:rsidRPr="004E21CB" w:rsidRDefault="008147CC" w:rsidP="00DD5858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37"/>
              <w:gridCol w:w="1911"/>
              <w:gridCol w:w="2094"/>
              <w:gridCol w:w="2087"/>
            </w:tblGrid>
            <w:tr w:rsidR="00DD5858" w:rsidRPr="004E21CB" w14:paraId="777964A4" w14:textId="77777777" w:rsidTr="00E8049B">
              <w:tc>
                <w:tcPr>
                  <w:tcW w:w="962" w:type="dxa"/>
                </w:tcPr>
                <w:p w14:paraId="6AD8DC3D" w14:textId="77777777" w:rsidR="00DD5858" w:rsidRPr="004E21CB" w:rsidRDefault="00DD5858" w:rsidP="00DD5858">
                  <w:pPr>
                    <w:rPr>
                      <w:rFonts w:ascii="Palatino Linotype" w:hAnsi="Palatino Linotype"/>
                      <w:b/>
                    </w:rPr>
                  </w:pPr>
                  <w:r w:rsidRPr="004E21CB">
                    <w:rPr>
                      <w:rFonts w:ascii="Palatino Linotype" w:hAnsi="Palatino Linotype"/>
                      <w:b/>
                    </w:rPr>
                    <w:t>Votazione</w:t>
                  </w:r>
                </w:p>
              </w:tc>
              <w:tc>
                <w:tcPr>
                  <w:tcW w:w="1911" w:type="dxa"/>
                </w:tcPr>
                <w:p w14:paraId="1C85F11F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Conoscenza e comprensione dell’argomento</w:t>
                  </w:r>
                </w:p>
              </w:tc>
              <w:tc>
                <w:tcPr>
                  <w:tcW w:w="2073" w:type="dxa"/>
                </w:tcPr>
                <w:p w14:paraId="597FE789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Capacità di analisi e di sintesi</w:t>
                  </w:r>
                </w:p>
              </w:tc>
              <w:tc>
                <w:tcPr>
                  <w:tcW w:w="2087" w:type="dxa"/>
                </w:tcPr>
                <w:p w14:paraId="1AE2523B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Utilizzo di referenze</w:t>
                  </w:r>
                </w:p>
              </w:tc>
            </w:tr>
            <w:tr w:rsidR="00DD5858" w:rsidRPr="004E21CB" w14:paraId="564B8F10" w14:textId="77777777" w:rsidTr="00E8049B">
              <w:tc>
                <w:tcPr>
                  <w:tcW w:w="962" w:type="dxa"/>
                </w:tcPr>
                <w:p w14:paraId="0716E529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lastRenderedPageBreak/>
                    <w:t>Non idoneo</w:t>
                  </w:r>
                </w:p>
              </w:tc>
              <w:tc>
                <w:tcPr>
                  <w:tcW w:w="1911" w:type="dxa"/>
                </w:tcPr>
                <w:p w14:paraId="146219DC" w14:textId="031A9E0A" w:rsidR="00DD5858" w:rsidRPr="004E21CB" w:rsidRDefault="00DD5858" w:rsidP="00DD5858">
                  <w:pPr>
                    <w:ind w:left="139"/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Importanti carenze. Significative i</w:t>
                  </w:r>
                  <w:r w:rsidR="00074DB6">
                    <w:rPr>
                      <w:rFonts w:ascii="Palatino Linotype" w:hAnsi="Palatino Linotype"/>
                    </w:rPr>
                    <w:t>mprecisioni</w:t>
                  </w:r>
                </w:p>
              </w:tc>
              <w:tc>
                <w:tcPr>
                  <w:tcW w:w="2073" w:type="dxa"/>
                </w:tcPr>
                <w:p w14:paraId="1286B6B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Irrilevanti. Frequenti generalizzazioni. Incapacità di sintesi</w:t>
                  </w:r>
                </w:p>
              </w:tc>
              <w:tc>
                <w:tcPr>
                  <w:tcW w:w="2087" w:type="dxa"/>
                </w:tcPr>
                <w:p w14:paraId="551D0B69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Completamente inappropriato</w:t>
                  </w:r>
                </w:p>
              </w:tc>
            </w:tr>
            <w:tr w:rsidR="00DD5858" w:rsidRPr="004E21CB" w14:paraId="2A7A2C91" w14:textId="77777777" w:rsidTr="00E8049B">
              <w:tc>
                <w:tcPr>
                  <w:tcW w:w="962" w:type="dxa"/>
                </w:tcPr>
                <w:p w14:paraId="2BBC437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18-20</w:t>
                  </w:r>
                </w:p>
              </w:tc>
              <w:tc>
                <w:tcPr>
                  <w:tcW w:w="1911" w:type="dxa"/>
                </w:tcPr>
                <w:p w14:paraId="7073E55E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A livello soglia. Imperfezioni evidenti</w:t>
                  </w:r>
                </w:p>
              </w:tc>
              <w:tc>
                <w:tcPr>
                  <w:tcW w:w="2073" w:type="dxa"/>
                </w:tcPr>
                <w:p w14:paraId="29334481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Capacità appena sufficienti</w:t>
                  </w:r>
                </w:p>
              </w:tc>
              <w:tc>
                <w:tcPr>
                  <w:tcW w:w="2087" w:type="dxa"/>
                </w:tcPr>
                <w:p w14:paraId="2ED7DE5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Appena appropriato</w:t>
                  </w:r>
                </w:p>
              </w:tc>
            </w:tr>
            <w:tr w:rsidR="00DD5858" w:rsidRPr="004E21CB" w14:paraId="7BEDC2BC" w14:textId="77777777" w:rsidTr="00E8049B">
              <w:tc>
                <w:tcPr>
                  <w:tcW w:w="962" w:type="dxa"/>
                </w:tcPr>
                <w:p w14:paraId="2C0C728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21-23</w:t>
                  </w:r>
                </w:p>
              </w:tc>
              <w:tc>
                <w:tcPr>
                  <w:tcW w:w="1911" w:type="dxa"/>
                </w:tcPr>
                <w:p w14:paraId="74931D5A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routinaria</w:t>
                  </w:r>
                </w:p>
              </w:tc>
              <w:tc>
                <w:tcPr>
                  <w:tcW w:w="2073" w:type="dxa"/>
                </w:tcPr>
                <w:p w14:paraId="4ADA0440" w14:textId="573EC0E9" w:rsidR="00DD5858" w:rsidRPr="004E21CB" w:rsidRDefault="002B5B24" w:rsidP="00DD5858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È</w:t>
                  </w:r>
                  <w:r w:rsidR="00DD5858" w:rsidRPr="004E21CB">
                    <w:rPr>
                      <w:rFonts w:ascii="Palatino Linotype" w:hAnsi="Palatino Linotype"/>
                    </w:rPr>
                    <w:t xml:space="preserve"> in grado di analisi e di sintesi </w:t>
                  </w:r>
                  <w:r w:rsidR="005814C1">
                    <w:rPr>
                      <w:rFonts w:ascii="Palatino Linotype" w:hAnsi="Palatino Linotype"/>
                    </w:rPr>
                    <w:t>discrete</w:t>
                  </w:r>
                  <w:r w:rsidR="00DD5858" w:rsidRPr="004E21CB">
                    <w:rPr>
                      <w:rFonts w:ascii="Palatino Linotype" w:hAnsi="Palatino Linotype"/>
                    </w:rPr>
                    <w:t>. Argomenta in modo logico</w:t>
                  </w:r>
                  <w:r w:rsidR="005814C1">
                    <w:rPr>
                      <w:rFonts w:ascii="Palatino Linotype" w:hAnsi="Palatino Linotype"/>
                    </w:rPr>
                    <w:t>.</w:t>
                  </w:r>
                </w:p>
              </w:tc>
              <w:tc>
                <w:tcPr>
                  <w:tcW w:w="2087" w:type="dxa"/>
                </w:tcPr>
                <w:p w14:paraId="28E1DD26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Utilizza le referenze standard</w:t>
                  </w:r>
                </w:p>
              </w:tc>
            </w:tr>
            <w:tr w:rsidR="00DD5858" w:rsidRPr="004E21CB" w14:paraId="07F3415E" w14:textId="77777777" w:rsidTr="00E8049B">
              <w:tc>
                <w:tcPr>
                  <w:tcW w:w="962" w:type="dxa"/>
                </w:tcPr>
                <w:p w14:paraId="6B548E85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24-26</w:t>
                  </w:r>
                </w:p>
              </w:tc>
              <w:tc>
                <w:tcPr>
                  <w:tcW w:w="1911" w:type="dxa"/>
                </w:tcPr>
                <w:p w14:paraId="25EC77A2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buona</w:t>
                  </w:r>
                </w:p>
              </w:tc>
              <w:tc>
                <w:tcPr>
                  <w:tcW w:w="2073" w:type="dxa"/>
                </w:tcPr>
                <w:p w14:paraId="7BB64A4E" w14:textId="7ACB235B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 xml:space="preserve">Gli argomenti sono espressi </w:t>
                  </w:r>
                  <w:r w:rsidR="005814C1">
                    <w:rPr>
                      <w:rFonts w:ascii="Palatino Linotype" w:hAnsi="Palatino Linotype"/>
                    </w:rPr>
                    <w:t>adeguatamente con analisi appropriate e buon approfondimento</w:t>
                  </w:r>
                </w:p>
              </w:tc>
              <w:tc>
                <w:tcPr>
                  <w:tcW w:w="2087" w:type="dxa"/>
                </w:tcPr>
                <w:p w14:paraId="1B4D84FB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Utilizza le referenze standard</w:t>
                  </w:r>
                </w:p>
              </w:tc>
            </w:tr>
            <w:tr w:rsidR="00DD5858" w:rsidRPr="004E21CB" w14:paraId="024921A8" w14:textId="77777777" w:rsidTr="00E8049B">
              <w:tc>
                <w:tcPr>
                  <w:tcW w:w="962" w:type="dxa"/>
                </w:tcPr>
                <w:p w14:paraId="1A1F5EC2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27-29</w:t>
                  </w:r>
                </w:p>
              </w:tc>
              <w:tc>
                <w:tcPr>
                  <w:tcW w:w="1911" w:type="dxa"/>
                </w:tcPr>
                <w:p w14:paraId="4083076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più che buona</w:t>
                  </w:r>
                </w:p>
              </w:tc>
              <w:tc>
                <w:tcPr>
                  <w:tcW w:w="2073" w:type="dxa"/>
                </w:tcPr>
                <w:p w14:paraId="7DBED1FA" w14:textId="5180E20E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Ha capacità di analisi e di sintesi</w:t>
                  </w:r>
                  <w:r w:rsidR="005814C1">
                    <w:rPr>
                      <w:rFonts w:ascii="Palatino Linotype" w:hAnsi="Palatino Linotype"/>
                    </w:rPr>
                    <w:t xml:space="preserve"> </w:t>
                  </w:r>
                  <w:r w:rsidR="009178D5">
                    <w:rPr>
                      <w:rFonts w:ascii="Palatino Linotype" w:hAnsi="Palatino Linotype"/>
                    </w:rPr>
                    <w:t>significative</w:t>
                  </w:r>
                </w:p>
              </w:tc>
              <w:tc>
                <w:tcPr>
                  <w:tcW w:w="2087" w:type="dxa"/>
                </w:tcPr>
                <w:p w14:paraId="1C8A577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Ha approfondito gli argomenti</w:t>
                  </w:r>
                </w:p>
              </w:tc>
            </w:tr>
            <w:tr w:rsidR="00DD5858" w:rsidRPr="004E21CB" w14:paraId="66F2E09B" w14:textId="77777777" w:rsidTr="00E8049B">
              <w:tc>
                <w:tcPr>
                  <w:tcW w:w="962" w:type="dxa"/>
                </w:tcPr>
                <w:p w14:paraId="4A9CE5D3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30-30L</w:t>
                  </w:r>
                </w:p>
              </w:tc>
              <w:tc>
                <w:tcPr>
                  <w:tcW w:w="1911" w:type="dxa"/>
                </w:tcPr>
                <w:p w14:paraId="0029A78D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ottima</w:t>
                  </w:r>
                </w:p>
              </w:tc>
              <w:tc>
                <w:tcPr>
                  <w:tcW w:w="2073" w:type="dxa"/>
                </w:tcPr>
                <w:p w14:paraId="590D72CF" w14:textId="58FEBEC6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 xml:space="preserve">Ha </w:t>
                  </w:r>
                  <w:r w:rsidR="005814C1">
                    <w:rPr>
                      <w:rFonts w:ascii="Palatino Linotype" w:hAnsi="Palatino Linotype"/>
                    </w:rPr>
                    <w:t xml:space="preserve">notevoli </w:t>
                  </w:r>
                  <w:r w:rsidRPr="004E21CB">
                    <w:rPr>
                      <w:rFonts w:ascii="Palatino Linotype" w:hAnsi="Palatino Linotype"/>
                    </w:rPr>
                    <w:t>capacità di analisi e di sintesi</w:t>
                  </w:r>
                </w:p>
              </w:tc>
              <w:tc>
                <w:tcPr>
                  <w:tcW w:w="2087" w:type="dxa"/>
                </w:tcPr>
                <w:p w14:paraId="73FA5DF1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Importanti approfondimenti</w:t>
                  </w:r>
                </w:p>
              </w:tc>
            </w:tr>
          </w:tbl>
          <w:p w14:paraId="0E9F9678" w14:textId="77777777" w:rsidR="00DD5858" w:rsidRPr="004E21CB" w:rsidRDefault="00DD5858" w:rsidP="00DD5858">
            <w:pPr>
              <w:rPr>
                <w:rFonts w:ascii="Palatino Linotype" w:hAnsi="Palatino Linotype"/>
              </w:rPr>
            </w:pPr>
          </w:p>
        </w:tc>
      </w:tr>
    </w:tbl>
    <w:p w14:paraId="3A1A3EA2" w14:textId="77777777" w:rsidR="00931DC9" w:rsidRPr="004E21CB" w:rsidRDefault="00931DC9" w:rsidP="00027004">
      <w:pPr>
        <w:rPr>
          <w:rFonts w:ascii="Palatino Linotype" w:hAnsi="Palatino Linotype"/>
        </w:rPr>
      </w:pPr>
    </w:p>
    <w:p w14:paraId="1BE1AD36" w14:textId="77777777" w:rsidR="00931DC9" w:rsidRPr="004E21CB" w:rsidRDefault="00931DC9" w:rsidP="00C1403D">
      <w:pPr>
        <w:jc w:val="center"/>
        <w:rPr>
          <w:rFonts w:ascii="Palatino Linotype" w:hAnsi="Palatino Linotype"/>
        </w:rPr>
      </w:pPr>
    </w:p>
    <w:sectPr w:rsidR="00931DC9" w:rsidRPr="004E21CB" w:rsidSect="003564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858"/>
    <w:multiLevelType w:val="multilevel"/>
    <w:tmpl w:val="FF82EB3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7B2A"/>
    <w:multiLevelType w:val="multilevel"/>
    <w:tmpl w:val="8A2647A0"/>
    <w:lvl w:ilvl="0">
      <w:start w:val="1"/>
      <w:numFmt w:val="upp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703C0"/>
    <w:multiLevelType w:val="multilevel"/>
    <w:tmpl w:val="27A09452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-70"/>
        <w:w w:val="100"/>
        <w:position w:val="0"/>
        <w:sz w:val="56"/>
        <w:szCs w:val="5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836657">
    <w:abstractNumId w:val="0"/>
  </w:num>
  <w:num w:numId="2" w16cid:durableId="446629042">
    <w:abstractNumId w:val="1"/>
  </w:num>
  <w:num w:numId="3" w16cid:durableId="99398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2"/>
    <w:rsid w:val="0000336B"/>
    <w:rsid w:val="00016D70"/>
    <w:rsid w:val="00027004"/>
    <w:rsid w:val="00074DB6"/>
    <w:rsid w:val="001008FF"/>
    <w:rsid w:val="00117703"/>
    <w:rsid w:val="00130529"/>
    <w:rsid w:val="00141342"/>
    <w:rsid w:val="001A254B"/>
    <w:rsid w:val="001B332E"/>
    <w:rsid w:val="001B75AC"/>
    <w:rsid w:val="001D2965"/>
    <w:rsid w:val="001E4318"/>
    <w:rsid w:val="001F4507"/>
    <w:rsid w:val="00214782"/>
    <w:rsid w:val="00214A45"/>
    <w:rsid w:val="00244E77"/>
    <w:rsid w:val="00247866"/>
    <w:rsid w:val="002A0008"/>
    <w:rsid w:val="002B5B24"/>
    <w:rsid w:val="002B5C41"/>
    <w:rsid w:val="002F5464"/>
    <w:rsid w:val="00320DCC"/>
    <w:rsid w:val="003246D2"/>
    <w:rsid w:val="003564B1"/>
    <w:rsid w:val="0038651F"/>
    <w:rsid w:val="00394DAC"/>
    <w:rsid w:val="003A3357"/>
    <w:rsid w:val="00400865"/>
    <w:rsid w:val="00410ABB"/>
    <w:rsid w:val="00455BC0"/>
    <w:rsid w:val="004773E7"/>
    <w:rsid w:val="004A7787"/>
    <w:rsid w:val="004C05E2"/>
    <w:rsid w:val="004C2776"/>
    <w:rsid w:val="004D4319"/>
    <w:rsid w:val="004E21CB"/>
    <w:rsid w:val="0052274D"/>
    <w:rsid w:val="005430B3"/>
    <w:rsid w:val="005814C1"/>
    <w:rsid w:val="005E3BAA"/>
    <w:rsid w:val="0062424B"/>
    <w:rsid w:val="00666634"/>
    <w:rsid w:val="006C486E"/>
    <w:rsid w:val="00703B41"/>
    <w:rsid w:val="00724899"/>
    <w:rsid w:val="007567F3"/>
    <w:rsid w:val="007646DF"/>
    <w:rsid w:val="00774EA5"/>
    <w:rsid w:val="00783FB7"/>
    <w:rsid w:val="00784E5B"/>
    <w:rsid w:val="0079544D"/>
    <w:rsid w:val="007B00B0"/>
    <w:rsid w:val="007C77B1"/>
    <w:rsid w:val="007D738F"/>
    <w:rsid w:val="007F56D4"/>
    <w:rsid w:val="00800FB9"/>
    <w:rsid w:val="00801959"/>
    <w:rsid w:val="008147CC"/>
    <w:rsid w:val="008321CC"/>
    <w:rsid w:val="00841726"/>
    <w:rsid w:val="0084544A"/>
    <w:rsid w:val="008455C6"/>
    <w:rsid w:val="00873609"/>
    <w:rsid w:val="008C1F42"/>
    <w:rsid w:val="009178D5"/>
    <w:rsid w:val="0092735D"/>
    <w:rsid w:val="00931DC9"/>
    <w:rsid w:val="009837A3"/>
    <w:rsid w:val="009C07C8"/>
    <w:rsid w:val="009E5F20"/>
    <w:rsid w:val="00A576DD"/>
    <w:rsid w:val="00B21BC7"/>
    <w:rsid w:val="00B2460A"/>
    <w:rsid w:val="00B40FC7"/>
    <w:rsid w:val="00B80066"/>
    <w:rsid w:val="00C117CC"/>
    <w:rsid w:val="00C1403D"/>
    <w:rsid w:val="00C432AF"/>
    <w:rsid w:val="00C6106C"/>
    <w:rsid w:val="00C94C7D"/>
    <w:rsid w:val="00CB0025"/>
    <w:rsid w:val="00CB23ED"/>
    <w:rsid w:val="00D208E2"/>
    <w:rsid w:val="00D429E9"/>
    <w:rsid w:val="00D67630"/>
    <w:rsid w:val="00D714CA"/>
    <w:rsid w:val="00DC2608"/>
    <w:rsid w:val="00DD5858"/>
    <w:rsid w:val="00E17C8B"/>
    <w:rsid w:val="00E208B4"/>
    <w:rsid w:val="00E6110F"/>
    <w:rsid w:val="00E72731"/>
    <w:rsid w:val="00E8049B"/>
    <w:rsid w:val="00E813CC"/>
    <w:rsid w:val="00E94A01"/>
    <w:rsid w:val="00ED0A66"/>
    <w:rsid w:val="00ED54AD"/>
    <w:rsid w:val="00EE3864"/>
    <w:rsid w:val="00EF3C5A"/>
    <w:rsid w:val="00F1312C"/>
    <w:rsid w:val="00F62AAE"/>
    <w:rsid w:val="00F6585B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E1756"/>
  <w14:defaultImageDpi w14:val="300"/>
  <w15:chartTrackingRefBased/>
  <w15:docId w15:val="{6C4B1266-4F23-DC4C-AF35-668E448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_"/>
    <w:link w:val="Corpodeltesto20"/>
    <w:rsid w:val="00214782"/>
    <w:rPr>
      <w:rFonts w:ascii="Times New Roman" w:eastAsia="Times New Roman" w:hAnsi="Times New Roman"/>
      <w:shd w:val="clear" w:color="auto" w:fill="FFFFFF"/>
    </w:rPr>
  </w:style>
  <w:style w:type="character" w:customStyle="1" w:styleId="Corpodeltesto2BookmanOldStyle11ptGrassetto">
    <w:name w:val="Corpo del testo (2) + Bookman Old Style;11 pt;Grassetto"/>
    <w:rsid w:val="0021478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214782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Corpodeltesto2BookmanOldStyle11pt">
    <w:name w:val="Corpo del testo (2) + Bookman Old Style;11 pt"/>
    <w:rsid w:val="0021478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Garamond28ptSpaziatura-3pt">
    <w:name w:val="Corpo del testo (2) + Garamond;28 pt;Spaziatura -3 pt"/>
    <w:rsid w:val="00C94C7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56"/>
      <w:szCs w:val="56"/>
      <w:u w:val="none"/>
      <w:shd w:val="clear" w:color="auto" w:fill="FFFFFF"/>
      <w:lang w:val="it-IT" w:eastAsia="it-IT" w:bidi="it-IT"/>
    </w:rPr>
  </w:style>
  <w:style w:type="character" w:customStyle="1" w:styleId="Corpodeltesto2BookmanOldStyle11ptCorsivo">
    <w:name w:val="Corpo del testo (2) + Bookman Old Style;11 pt;Corsivo"/>
    <w:rsid w:val="00C94C7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BookmanOldStyle12ptGrassettoCorsivo">
    <w:name w:val="Corpo del testo (2) + Bookman Old Style;12 pt;Grassetto;Corsivo"/>
    <w:rsid w:val="00C94C7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it-IT" w:eastAsia="it-IT" w:bidi="it-IT"/>
    </w:rPr>
  </w:style>
  <w:style w:type="character" w:customStyle="1" w:styleId="Corpodeltesto2BookmanOldStyle13pt">
    <w:name w:val="Corpo del testo (2) + Bookman Old Style;13 pt"/>
    <w:rsid w:val="00C94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it-IT" w:eastAsia="it-IT" w:bidi="it-IT"/>
    </w:rPr>
  </w:style>
  <w:style w:type="character" w:customStyle="1" w:styleId="Corpodeltesto2BookmanOldStyle8pt">
    <w:name w:val="Corpo del testo (2) + Bookman Old Style;8 pt"/>
    <w:rsid w:val="00C94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it-IT" w:eastAsia="it-IT" w:bidi="it-IT"/>
    </w:rPr>
  </w:style>
  <w:style w:type="paragraph" w:customStyle="1" w:styleId="Elencoacolori-Colore11">
    <w:name w:val="Elenco a colori - Colore 11"/>
    <w:basedOn w:val="Normale"/>
    <w:uiPriority w:val="34"/>
    <w:qFormat/>
    <w:rsid w:val="00774E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uiPriority w:val="99"/>
    <w:unhideWhenUsed/>
    <w:rsid w:val="00410AB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7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60A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60A"/>
    <w:rPr>
      <w:rFonts w:ascii="Times New Roman" w:hAnsi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iges.unicz.it/web/docenti/ranieli-mela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ania.ranieli@unicz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a/Desktop/Programmi/Dititto%20commerciale%20OAPP%202019-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EFDC7-7000-9E4A-A962-DE4F7C7D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Dititto commerciale OAPP 2019-2020.dotx</Template>
  <TotalTime>10</TotalTime>
  <Pages>4</Pages>
  <Words>1327</Words>
  <Characters>7622</Characters>
  <Application>Microsoft Office Word</Application>
  <DocSecurity>0</DocSecurity>
  <Lines>94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Links>
    <vt:vector size="12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mailto:melania.ranieli@unicz.it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mailto:adurso@unicz.it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Ranieli</cp:lastModifiedBy>
  <cp:revision>3</cp:revision>
  <cp:lastPrinted>2021-07-06T09:44:00Z</cp:lastPrinted>
  <dcterms:created xsi:type="dcterms:W3CDTF">2025-07-30T14:22:00Z</dcterms:created>
  <dcterms:modified xsi:type="dcterms:W3CDTF">2025-07-30T14:33:00Z</dcterms:modified>
</cp:coreProperties>
</file>