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DE917">
      <w:pPr>
        <w:spacing w:after="120"/>
      </w:pPr>
    </w:p>
    <w:p w14:paraId="59F9BACD">
      <w:pPr>
        <w:spacing w:after="11" w:line="267" w:lineRule="auto"/>
        <w:jc w:val="both"/>
        <w:rPr>
          <w:rFonts w:hint="default"/>
          <w:color w:val="000000" w:themeColor="text1"/>
          <w:lang w:val="it-IT"/>
          <w14:textFill>
            <w14:solidFill>
              <w14:schemeClr w14:val="tx1"/>
            </w14:solidFill>
          </w14:textFill>
        </w:rPr>
      </w:pPr>
      <w:r>
        <w:rPr>
          <w:b/>
          <w:color w:val="2E74B5"/>
          <w:sz w:val="28"/>
        </w:rPr>
        <w:t xml:space="preserve">CORSO DI STUDIO </w:t>
      </w:r>
      <w:r>
        <w:rPr>
          <w:rFonts w:hint="default"/>
          <w:b/>
          <w:color w:val="000000" w:themeColor="text1"/>
          <w:sz w:val="28"/>
          <w:lang w:val="it-IT"/>
          <w14:textFill>
            <w14:solidFill>
              <w14:schemeClr w14:val="tx1"/>
            </w14:solidFill>
          </w14:textFill>
        </w:rPr>
        <w:t>OAPP</w:t>
      </w:r>
    </w:p>
    <w:p w14:paraId="5C802C8D">
      <w:pPr>
        <w:spacing w:after="11" w:line="267" w:lineRule="auto"/>
        <w:ind w:left="-5" w:hanging="10"/>
        <w:jc w:val="both"/>
        <w:rPr>
          <w:rFonts w:hint="default"/>
          <w:color w:val="000000" w:themeColor="text1"/>
          <w:lang w:val="it-IT"/>
          <w14:textFill>
            <w14:solidFill>
              <w14:schemeClr w14:val="tx1"/>
            </w14:solidFill>
          </w14:textFill>
        </w:rPr>
      </w:pPr>
      <w:r>
        <w:rPr>
          <w:b/>
          <w:color w:val="2E74B5"/>
          <w:sz w:val="28"/>
        </w:rPr>
        <w:t xml:space="preserve">ANNO ACCADEMICO </w:t>
      </w:r>
      <w:r>
        <w:rPr>
          <w:rFonts w:hint="default"/>
          <w:b/>
          <w:color w:val="000000" w:themeColor="text1"/>
          <w:sz w:val="28"/>
          <w:lang w:val="it-IT"/>
          <w14:textFill>
            <w14:solidFill>
              <w14:schemeClr w14:val="tx1"/>
            </w14:solidFill>
          </w14:textFill>
        </w:rPr>
        <w:t>2025-2026</w:t>
      </w:r>
      <w:r>
        <w:rPr>
          <w:i/>
          <w:color w:val="2E74B5"/>
          <w:sz w:val="28"/>
        </w:rPr>
        <w:t xml:space="preserve"> </w:t>
      </w:r>
      <w:r>
        <w:rPr>
          <w:b/>
          <w:color w:val="2E74B5"/>
          <w:sz w:val="28"/>
        </w:rPr>
        <w:t xml:space="preserve">DENOMINAZIONE DELL’INSEGNAMENTO </w:t>
      </w:r>
      <w:r>
        <w:rPr>
          <w:rFonts w:hint="default"/>
          <w:b/>
          <w:color w:val="000000" w:themeColor="text1"/>
          <w:sz w:val="28"/>
          <w:lang w:val="it-IT"/>
          <w14:textFill>
            <w14:solidFill>
              <w14:schemeClr w14:val="tx1"/>
            </w14:solidFill>
          </w14:textFill>
        </w:rPr>
        <w:t>Diritto amministrativo</w:t>
      </w:r>
    </w:p>
    <w:p w14:paraId="3C3A1482">
      <w:pPr>
        <w:spacing w:after="0"/>
      </w:pPr>
      <w:r>
        <w:rPr>
          <w:b/>
          <w:color w:val="2E74B5"/>
          <w:sz w:val="28"/>
        </w:rPr>
        <w:t xml:space="preserve"> </w:t>
      </w:r>
    </w:p>
    <w:tbl>
      <w:tblPr>
        <w:tblStyle w:val="7"/>
        <w:tblW w:w="9748" w:type="dxa"/>
        <w:tblInd w:w="-106" w:type="dxa"/>
        <w:tblLayout w:type="autofit"/>
        <w:tblCellMar>
          <w:top w:w="44" w:type="dxa"/>
          <w:left w:w="106" w:type="dxa"/>
          <w:bottom w:w="0" w:type="dxa"/>
          <w:right w:w="115" w:type="dxa"/>
        </w:tblCellMar>
      </w:tblPr>
      <w:tblGrid>
        <w:gridCol w:w="2898"/>
        <w:gridCol w:w="6850"/>
      </w:tblGrid>
      <w:tr w14:paraId="59C6E777">
        <w:trPr>
          <w:trHeight w:val="253" w:hRule="atLeast"/>
        </w:trPr>
        <w:tc>
          <w:tcPr>
            <w:tcW w:w="97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1B319FA9">
            <w:pPr>
              <w:spacing w:after="0" w:line="240" w:lineRule="auto"/>
            </w:pPr>
            <w:r>
              <w:rPr>
                <w:b/>
                <w:sz w:val="20"/>
              </w:rPr>
              <w:t xml:space="preserve">Principali informazioni sull’insegnamento </w:t>
            </w:r>
          </w:p>
        </w:tc>
      </w:tr>
      <w:tr w14:paraId="5252250C">
        <w:trPr>
          <w:trHeight w:val="256" w:hRule="atLeast"/>
        </w:trPr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AAE9A">
            <w:pPr>
              <w:spacing w:after="0" w:line="240" w:lineRule="auto"/>
            </w:pPr>
            <w:r>
              <w:rPr>
                <w:sz w:val="20"/>
              </w:rPr>
              <w:t xml:space="preserve">Anno di corso 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F912C7">
            <w:pPr>
              <w:spacing w:after="0" w:line="240" w:lineRule="auto"/>
              <w:ind w:left="2"/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III anno</w:t>
            </w: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2216C08">
        <w:trPr>
          <w:trHeight w:val="497" w:hRule="atLeast"/>
        </w:trPr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642583">
            <w:pPr>
              <w:spacing w:after="0" w:line="240" w:lineRule="auto"/>
            </w:pPr>
            <w:r>
              <w:rPr>
                <w:sz w:val="20"/>
              </w:rPr>
              <w:t xml:space="preserve">Periodo di erogazione 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FD881">
            <w:pPr>
              <w:spacing w:after="0" w:line="240" w:lineRule="auto"/>
              <w:ind w:left="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I semestre</w:t>
            </w:r>
          </w:p>
        </w:tc>
      </w:tr>
      <w:tr w14:paraId="1CC25A4E">
        <w:trPr>
          <w:trHeight w:val="499" w:hRule="atLeast"/>
        </w:trPr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3A5E54">
            <w:pPr>
              <w:spacing w:after="0" w:line="240" w:lineRule="auto"/>
            </w:pPr>
            <w:r>
              <w:rPr>
                <w:sz w:val="20"/>
              </w:rPr>
              <w:t xml:space="preserve">Crediti formativi universitari (CFU/ETCS):  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417F6D">
            <w:pPr>
              <w:spacing w:after="0" w:line="240" w:lineRule="auto"/>
              <w:ind w:left="2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12 cfu</w:t>
            </w:r>
          </w:p>
        </w:tc>
      </w:tr>
      <w:tr w14:paraId="42FD3D14">
        <w:trPr>
          <w:trHeight w:val="254" w:hRule="atLeast"/>
        </w:trPr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F36C7">
            <w:pPr>
              <w:spacing w:after="0" w:line="240" w:lineRule="auto"/>
            </w:pPr>
            <w:r>
              <w:rPr>
                <w:sz w:val="20"/>
              </w:rPr>
              <w:t xml:space="preserve">SSD 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56555">
            <w:pPr>
              <w:spacing w:after="0" w:line="240" w:lineRule="auto"/>
              <w:ind w:left="2"/>
              <w:rPr>
                <w:i w:val="0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ius 10</w:t>
            </w: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D7AE566">
        <w:trPr>
          <w:trHeight w:val="255" w:hRule="atLeast"/>
        </w:trPr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D01E2">
            <w:pPr>
              <w:spacing w:after="0" w:line="240" w:lineRule="auto"/>
            </w:pPr>
            <w:r>
              <w:rPr>
                <w:sz w:val="20"/>
              </w:rPr>
              <w:t xml:space="preserve">Lingua di erogazione 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DF7DE">
            <w:pPr>
              <w:spacing w:after="0" w:line="240" w:lineRule="auto"/>
              <w:ind w:left="2"/>
              <w:rPr>
                <w:rFonts w:hint="default"/>
                <w:i w:val="0"/>
                <w:i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italiano</w:t>
            </w:r>
          </w:p>
        </w:tc>
      </w:tr>
      <w:tr w14:paraId="1DECD328">
        <w:trPr>
          <w:trHeight w:val="255" w:hRule="atLeast"/>
        </w:trPr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F6D86">
            <w:pPr>
              <w:spacing w:after="0" w:line="240" w:lineRule="auto"/>
            </w:pPr>
            <w:r>
              <w:rPr>
                <w:sz w:val="20"/>
              </w:rPr>
              <w:t xml:space="preserve">Modalità di frequenza </w:t>
            </w:r>
          </w:p>
        </w:tc>
        <w:tc>
          <w:tcPr>
            <w:tcW w:w="6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D95DB6">
            <w:pPr>
              <w:spacing w:after="0" w:line="240" w:lineRule="auto"/>
              <w:ind w:left="2"/>
              <w:rPr>
                <w:rFonts w:hint="default"/>
                <w:i w:val="0"/>
                <w:i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frequenza alle lezioni frontali, non obbligatoria</w:t>
            </w:r>
          </w:p>
        </w:tc>
      </w:tr>
    </w:tbl>
    <w:p w14:paraId="216D5650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</w:p>
    <w:tbl>
      <w:tblPr>
        <w:tblStyle w:val="7"/>
        <w:tblW w:w="9749" w:type="dxa"/>
        <w:tblInd w:w="-106" w:type="dxa"/>
        <w:tblLayout w:type="autofit"/>
        <w:tblCellMar>
          <w:top w:w="45" w:type="dxa"/>
          <w:left w:w="106" w:type="dxa"/>
          <w:bottom w:w="0" w:type="dxa"/>
          <w:right w:w="115" w:type="dxa"/>
        </w:tblCellMar>
      </w:tblPr>
      <w:tblGrid>
        <w:gridCol w:w="2897"/>
        <w:gridCol w:w="6852"/>
      </w:tblGrid>
      <w:tr w14:paraId="68C4416A">
        <w:trPr>
          <w:trHeight w:val="252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7A94F80D">
            <w:pPr>
              <w:spacing w:after="0" w:line="240" w:lineRule="auto"/>
            </w:pPr>
            <w:r>
              <w:rPr>
                <w:b/>
                <w:sz w:val="20"/>
              </w:rPr>
              <w:t xml:space="preserve">Docente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D0561">
            <w:pPr>
              <w:spacing w:after="0" w:line="240" w:lineRule="auto"/>
              <w:ind w:left="54"/>
              <w:jc w:val="center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  <w:tr w14:paraId="523DA415">
        <w:trPr>
          <w:trHeight w:val="256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E5DEB">
            <w:pPr>
              <w:spacing w:after="0" w:line="240" w:lineRule="auto"/>
            </w:pPr>
            <w:r>
              <w:rPr>
                <w:sz w:val="20"/>
              </w:rPr>
              <w:t xml:space="preserve">Nome e cognome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5D51D">
            <w:pPr>
              <w:spacing w:after="0" w:line="240" w:lineRule="auto"/>
              <w:ind w:right="17"/>
              <w:jc w:val="center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Annalaura Giannelli</w:t>
            </w:r>
          </w:p>
        </w:tc>
      </w:tr>
      <w:tr w14:paraId="641DF9B1">
        <w:trPr>
          <w:trHeight w:val="254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CC9EB6">
            <w:pPr>
              <w:spacing w:after="0" w:line="240" w:lineRule="auto"/>
            </w:pPr>
            <w:r>
              <w:rPr>
                <w:sz w:val="20"/>
              </w:rPr>
              <w:t xml:space="preserve">Indirizzo mail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160DE">
            <w:pPr>
              <w:spacing w:after="0" w:line="240" w:lineRule="auto"/>
              <w:ind w:right="17"/>
              <w:jc w:val="center"/>
              <w:rPr>
                <w:rFonts w:hint="default"/>
                <w:i w:val="0"/>
                <w:i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a.giannelli@unicz.it</w:t>
            </w:r>
          </w:p>
        </w:tc>
      </w:tr>
      <w:tr w14:paraId="0387CF25">
        <w:trPr>
          <w:trHeight w:val="255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0DB5B">
            <w:pPr>
              <w:spacing w:after="0" w:line="240" w:lineRule="auto"/>
            </w:pPr>
            <w:r>
              <w:rPr>
                <w:sz w:val="20"/>
              </w:rPr>
              <w:t xml:space="preserve">Telefono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EC2D04">
            <w:pPr>
              <w:spacing w:after="0" w:line="240" w:lineRule="auto"/>
              <w:ind w:right="17"/>
              <w:jc w:val="center"/>
              <w:rPr>
                <w:i w:val="0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93B8C5">
        <w:trPr>
          <w:trHeight w:val="255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26602">
            <w:pPr>
              <w:spacing w:after="0" w:line="240" w:lineRule="auto"/>
            </w:pPr>
            <w:r>
              <w:rPr>
                <w:sz w:val="20"/>
              </w:rPr>
              <w:t xml:space="preserve">Sede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00A9C">
            <w:pPr>
              <w:spacing w:after="0" w:line="240" w:lineRule="auto"/>
              <w:ind w:right="28"/>
              <w:jc w:val="center"/>
              <w:rPr>
                <w:i w:val="0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Diges, stanza 12</w:t>
            </w: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61E7171">
        <w:trPr>
          <w:trHeight w:val="255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43CF3">
            <w:pPr>
              <w:spacing w:after="0" w:line="240" w:lineRule="auto"/>
            </w:pPr>
            <w:r>
              <w:rPr>
                <w:sz w:val="20"/>
              </w:rPr>
              <w:t xml:space="preserve">Sede virtuale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318E3">
            <w:pPr>
              <w:spacing w:after="0" w:line="240" w:lineRule="auto"/>
              <w:ind w:right="42"/>
              <w:jc w:val="center"/>
              <w:rPr>
                <w:rFonts w:hint="default"/>
                <w:i w:val="0"/>
                <w:i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Da concordare via mail</w:t>
            </w:r>
          </w:p>
        </w:tc>
      </w:tr>
      <w:tr w14:paraId="0F8C058C">
        <w:trPr>
          <w:trHeight w:val="254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2BFA3">
            <w:pPr>
              <w:spacing w:after="0" w:line="240" w:lineRule="auto"/>
            </w:pPr>
            <w:r>
              <w:rPr>
                <w:sz w:val="20"/>
              </w:rPr>
              <w:t xml:space="preserve">Ricevimento 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AEAF67">
            <w:pPr>
              <w:spacing w:after="0" w:line="240" w:lineRule="auto"/>
              <w:ind w:right="15"/>
              <w:jc w:val="center"/>
              <w:rPr>
                <w:rFonts w:hint="default"/>
                <w:i w:val="0"/>
                <w:i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Ora successiva a ciascuna lezione, in alternativa su appuntamento concordato via mail</w:t>
            </w:r>
          </w:p>
        </w:tc>
      </w:tr>
    </w:tbl>
    <w:p w14:paraId="09BD7A8B">
      <w:pPr>
        <w:spacing w:after="0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</w:p>
    <w:tbl>
      <w:tblPr>
        <w:tblStyle w:val="7"/>
        <w:tblW w:w="9748" w:type="dxa"/>
        <w:tblInd w:w="-106" w:type="dxa"/>
        <w:tblLayout w:type="autofit"/>
        <w:tblCellMar>
          <w:top w:w="44" w:type="dxa"/>
          <w:left w:w="0" w:type="dxa"/>
          <w:bottom w:w="0" w:type="dxa"/>
          <w:right w:w="1" w:type="dxa"/>
        </w:tblCellMar>
      </w:tblPr>
      <w:tblGrid>
        <w:gridCol w:w="1525"/>
        <w:gridCol w:w="1372"/>
        <w:gridCol w:w="755"/>
        <w:gridCol w:w="4253"/>
        <w:gridCol w:w="1843"/>
      </w:tblGrid>
      <w:tr w14:paraId="4FCF064B">
        <w:trPr>
          <w:trHeight w:val="252" w:hRule="atLeast"/>
        </w:trPr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4512E031">
            <w:pPr>
              <w:spacing w:after="0" w:line="240" w:lineRule="auto"/>
              <w:ind w:left="106"/>
            </w:pPr>
            <w:r>
              <w:rPr>
                <w:b/>
                <w:sz w:val="20"/>
              </w:rPr>
              <w:t xml:space="preserve">Organizzazione della didattica  </w:t>
            </w:r>
          </w:p>
        </w:tc>
        <w:tc>
          <w:tcPr>
            <w:tcW w:w="5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02F8C66">
            <w:pPr>
              <w:spacing w:after="0" w:line="240" w:lineRule="auto"/>
              <w:ind w:left="109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29DB4E">
            <w:pPr>
              <w:spacing w:after="0" w:line="240" w:lineRule="auto"/>
            </w:pPr>
          </w:p>
        </w:tc>
      </w:tr>
      <w:tr w14:paraId="02911D62">
        <w:trPr>
          <w:trHeight w:val="252" w:hRule="atLeast"/>
        </w:trPr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2A1C7"/>
          </w:tcPr>
          <w:p w14:paraId="543153FF">
            <w:pPr>
              <w:spacing w:after="0" w:line="240" w:lineRule="auto"/>
              <w:ind w:left="106"/>
            </w:pPr>
            <w:r>
              <w:rPr>
                <w:b/>
                <w:sz w:val="20"/>
              </w:rPr>
              <w:t xml:space="preserve">Ore </w:t>
            </w:r>
          </w:p>
        </w:tc>
        <w:tc>
          <w:tcPr>
            <w:tcW w:w="5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2A1C7"/>
          </w:tcPr>
          <w:p w14:paraId="037034E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02AB5965">
            <w:pPr>
              <w:spacing w:after="0" w:line="240" w:lineRule="auto"/>
            </w:pPr>
          </w:p>
        </w:tc>
      </w:tr>
      <w:tr w14:paraId="289B7663">
        <w:trPr>
          <w:trHeight w:val="25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FA18">
            <w:pPr>
              <w:spacing w:after="0" w:line="240" w:lineRule="auto"/>
              <w:ind w:left="106"/>
            </w:pPr>
            <w:r>
              <w:rPr>
                <w:sz w:val="20"/>
              </w:rPr>
              <w:t xml:space="preserve">Totali  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272BC0">
            <w:pPr>
              <w:spacing w:after="0" w:line="240" w:lineRule="auto"/>
              <w:ind w:left="110"/>
            </w:pPr>
            <w:r>
              <w:rPr>
                <w:sz w:val="20"/>
              </w:rPr>
              <w:t>Didattica fronta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9C65072">
            <w:pPr>
              <w:spacing w:after="0" w:line="240" w:lineRule="auto"/>
            </w:pPr>
            <w:r>
              <w:rPr>
                <w:sz w:val="20"/>
              </w:rPr>
              <w:t xml:space="preserve">le  </w:t>
            </w: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8D1B3">
            <w:pPr>
              <w:spacing w:after="0" w:line="240" w:lineRule="auto"/>
              <w:ind w:left="108"/>
            </w:pPr>
            <w:r>
              <w:rPr>
                <w:sz w:val="20"/>
              </w:rPr>
              <w:t xml:space="preserve">Pratica (laboratorio, campo, esercitazione, altro)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180EB">
            <w:pPr>
              <w:spacing w:after="0" w:line="240" w:lineRule="auto"/>
              <w:ind w:left="110"/>
            </w:pPr>
            <w:r>
              <w:rPr>
                <w:sz w:val="20"/>
              </w:rPr>
              <w:t xml:space="preserve">Studio individuale </w:t>
            </w:r>
          </w:p>
        </w:tc>
      </w:tr>
      <w:tr w14:paraId="6655AF80">
        <w:trPr>
          <w:trHeight w:val="25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98496">
            <w:pPr>
              <w:spacing w:after="0" w:line="240" w:lineRule="auto"/>
              <w:ind w:left="106"/>
              <w:rPr>
                <w:rFonts w:hint="default"/>
                <w:i w:val="0"/>
                <w:iCs w:val="0"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 w:val="0"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100596A">
            <w:pPr>
              <w:spacing w:after="0" w:line="240" w:lineRule="auto"/>
              <w:ind w:left="110"/>
              <w:rPr>
                <w:rFonts w:hint="default"/>
                <w:i w:val="0"/>
                <w:iCs w:val="0"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 w:val="0"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5731924">
            <w:pPr>
              <w:spacing w:after="0" w:line="240" w:lineRule="auto"/>
              <w:rPr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8478D">
            <w:pPr>
              <w:spacing w:after="0" w:line="240" w:lineRule="auto"/>
              <w:ind w:left="108"/>
              <w:rPr>
                <w:rFonts w:hint="default"/>
                <w:i w:val="0"/>
                <w:iCs w:val="0"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 w:val="0"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DE562">
            <w:pPr>
              <w:spacing w:after="0" w:line="240" w:lineRule="auto"/>
              <w:ind w:left="110"/>
              <w:rPr>
                <w:rFonts w:hint="default"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172</w:t>
            </w:r>
          </w:p>
        </w:tc>
      </w:tr>
      <w:tr w14:paraId="013A3678">
        <w:trPr>
          <w:trHeight w:val="252" w:hRule="atLeast"/>
        </w:trPr>
        <w:tc>
          <w:tcPr>
            <w:tcW w:w="2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2A1C7"/>
          </w:tcPr>
          <w:p w14:paraId="003AA59C">
            <w:pPr>
              <w:spacing w:after="0" w:line="240" w:lineRule="auto"/>
              <w:ind w:left="106"/>
              <w:rPr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CFU/ETCS </w:t>
            </w:r>
          </w:p>
        </w:tc>
        <w:tc>
          <w:tcPr>
            <w:tcW w:w="50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B2A1C7"/>
          </w:tcPr>
          <w:p w14:paraId="64EFF88F">
            <w:pPr>
              <w:spacing w:after="0" w:line="240" w:lineRule="auto"/>
              <w:rPr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651F6A34">
            <w:pPr>
              <w:spacing w:after="0" w:line="240" w:lineRule="auto"/>
            </w:pPr>
          </w:p>
        </w:tc>
      </w:tr>
      <w:tr w14:paraId="27444320">
        <w:trPr>
          <w:trHeight w:val="256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484A73">
            <w:pPr>
              <w:spacing w:after="0" w:line="240" w:lineRule="auto"/>
              <w:ind w:left="106"/>
              <w:rPr>
                <w:rFonts w:hint="default"/>
                <w:i w:val="0"/>
                <w:iCs w:val="0"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 w:val="0"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D5CE1BD">
            <w:pPr>
              <w:spacing w:after="0" w:line="240" w:lineRule="auto"/>
              <w:ind w:left="110"/>
              <w:rPr>
                <w:rFonts w:hint="default"/>
                <w:i w:val="0"/>
                <w:iCs w:val="0"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 w:val="0"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4CEB56">
            <w:pPr>
              <w:spacing w:after="0" w:line="240" w:lineRule="auto"/>
              <w:rPr>
                <w:i w:val="0"/>
                <w:i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ED11F8">
            <w:pPr>
              <w:spacing w:after="0" w:line="240" w:lineRule="auto"/>
              <w:ind w:left="108"/>
              <w:rPr>
                <w:rFonts w:hint="default"/>
                <w:i w:val="0"/>
                <w:iCs w:val="0"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/>
                <w:i w:val="0"/>
                <w:iCs w:val="0"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714C3">
            <w:pPr>
              <w:spacing w:after="0" w:line="240" w:lineRule="auto"/>
              <w:ind w:left="110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</w:tbl>
    <w:p w14:paraId="00CFE4A4">
      <w:pPr>
        <w:spacing w:after="0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sz w:val="20"/>
        </w:rPr>
        <w:t xml:space="preserve"> </w:t>
      </w:r>
    </w:p>
    <w:tbl>
      <w:tblPr>
        <w:tblStyle w:val="7"/>
        <w:tblW w:w="9751" w:type="dxa"/>
        <w:tblInd w:w="-108" w:type="dxa"/>
        <w:tblLayout w:type="autofit"/>
        <w:tblCellMar>
          <w:top w:w="45" w:type="dxa"/>
          <w:left w:w="108" w:type="dxa"/>
          <w:bottom w:w="0" w:type="dxa"/>
          <w:right w:w="115" w:type="dxa"/>
        </w:tblCellMar>
      </w:tblPr>
      <w:tblGrid>
        <w:gridCol w:w="2900"/>
        <w:gridCol w:w="6851"/>
      </w:tblGrid>
      <w:tr w14:paraId="68C38CE8">
        <w:trPr>
          <w:trHeight w:val="497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831C07">
            <w:pPr>
              <w:spacing w:after="0" w:line="240" w:lineRule="auto"/>
            </w:pPr>
            <w:r>
              <w:rPr>
                <w:b/>
                <w:sz w:val="20"/>
              </w:rPr>
              <w:t xml:space="preserve">Obiettivi formativi 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71814">
            <w:pPr>
              <w:spacing w:after="0" w:line="240" w:lineRule="auto"/>
              <w:ind w:right="13"/>
              <w:jc w:val="both"/>
              <w:rPr>
                <w:rFonts w:hint="default"/>
                <w:lang w:val="it-IT"/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Il corso mira a fornire agli studenti le nozioni di teoria generale necessarie per comprendere gli aspetti organizzativi e funzionali dell’amministrazione, incentivando un approccio critico rispetto ai temi principali della disciplina</w:t>
            </w:r>
          </w:p>
        </w:tc>
      </w:tr>
      <w:tr w14:paraId="1DF47C3E">
        <w:trPr>
          <w:trHeight w:val="2697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191B9">
            <w:pPr>
              <w:spacing w:after="0" w:line="240" w:lineRule="auto"/>
            </w:pPr>
            <w:r>
              <w:rPr>
                <w:b/>
                <w:sz w:val="20"/>
              </w:rPr>
              <w:t xml:space="preserve">Prerequisiti 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1D108614">
            <w:pPr>
              <w:spacing w:after="0" w:line="240" w:lineRule="auto"/>
              <w:ind w:right="8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----</w:t>
            </w:r>
          </w:p>
        </w:tc>
      </w:tr>
      <w:tr w14:paraId="2F187C3D">
        <w:trPr>
          <w:trHeight w:val="986" w:hRule="atLeast"/>
        </w:trPr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4F1B3C">
            <w:pPr>
              <w:spacing w:after="0" w:line="240" w:lineRule="auto"/>
            </w:pPr>
          </w:p>
        </w:tc>
        <w:tc>
          <w:tcPr>
            <w:tcW w:w="685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889BA">
            <w:pPr>
              <w:spacing w:after="0" w:line="240" w:lineRule="auto"/>
            </w:pPr>
          </w:p>
        </w:tc>
      </w:tr>
    </w:tbl>
    <w:p w14:paraId="5962F791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</w:p>
    <w:tbl>
      <w:tblPr>
        <w:tblStyle w:val="7"/>
        <w:tblW w:w="9749" w:type="dxa"/>
        <w:tblInd w:w="-106" w:type="dxa"/>
        <w:tblLayout w:type="autofit"/>
        <w:tblCellMar>
          <w:top w:w="44" w:type="dxa"/>
          <w:left w:w="106" w:type="dxa"/>
          <w:bottom w:w="0" w:type="dxa"/>
          <w:right w:w="0" w:type="dxa"/>
        </w:tblCellMar>
      </w:tblPr>
      <w:tblGrid>
        <w:gridCol w:w="2897"/>
        <w:gridCol w:w="6852"/>
      </w:tblGrid>
      <w:tr w14:paraId="54A683ED">
        <w:trPr>
          <w:trHeight w:val="2694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44C0537C">
            <w:pPr>
              <w:spacing w:after="0" w:line="240" w:lineRule="auto"/>
            </w:pPr>
            <w:r>
              <w:rPr>
                <w:b/>
              </w:rPr>
              <w:t>Metodi didattici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75BB9">
            <w:pPr>
              <w:spacing w:after="0" w:line="240" w:lineRule="auto"/>
              <w:ind w:left="3" w:right="13"/>
              <w:jc w:val="both"/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Didattica frontale</w:t>
            </w: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131FEC06">
      <w:pPr>
        <w:spacing w:after="0"/>
        <w:jc w:val="both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i/>
          <w:color w:val="FF0000"/>
          <w:sz w:val="20"/>
        </w:rPr>
        <w:t xml:space="preserve"> </w:t>
      </w:r>
    </w:p>
    <w:tbl>
      <w:tblPr>
        <w:tblStyle w:val="7"/>
        <w:tblW w:w="9749" w:type="dxa"/>
        <w:tblInd w:w="-106" w:type="dxa"/>
        <w:tblLayout w:type="autofit"/>
        <w:tblCellMar>
          <w:top w:w="45" w:type="dxa"/>
          <w:left w:w="106" w:type="dxa"/>
          <w:bottom w:w="0" w:type="dxa"/>
          <w:right w:w="94" w:type="dxa"/>
        </w:tblCellMar>
      </w:tblPr>
      <w:tblGrid>
        <w:gridCol w:w="2897"/>
        <w:gridCol w:w="6852"/>
      </w:tblGrid>
      <w:tr w14:paraId="7201C6F5">
        <w:trPr>
          <w:trHeight w:val="9062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4AAE5C40">
            <w:pPr>
              <w:spacing w:after="0" w:line="240" w:lineRule="auto"/>
            </w:pPr>
            <w:r>
              <w:rPr>
                <w:b/>
                <w:sz w:val="20"/>
              </w:rPr>
              <w:t xml:space="preserve">Risultati di apprendimento </w:t>
            </w:r>
          </w:p>
          <w:p w14:paraId="1E15D453">
            <w:pPr>
              <w:spacing w:after="0" w:line="240" w:lineRule="auto"/>
            </w:pPr>
            <w:r>
              <w:rPr>
                <w:b/>
                <w:sz w:val="20"/>
              </w:rPr>
              <w:t xml:space="preserve">previsti </w:t>
            </w:r>
          </w:p>
          <w:p w14:paraId="467F3C29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BDBF33E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500F7D6B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7D4B6149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FE0318B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66D97D6E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0ADE04B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69827655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D0299F5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77D9283D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60E99D00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7D38F81E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0D937F0D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6E7DDBC7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6D655B20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DD1 </w:t>
            </w:r>
            <w:r>
              <w:rPr>
                <w:b/>
                <w:sz w:val="20"/>
              </w:rPr>
              <w:t xml:space="preserve"> Conoscenza  e  capacità  di </w:t>
            </w:r>
          </w:p>
          <w:p w14:paraId="6465C1F3">
            <w:pPr>
              <w:spacing w:after="0" w:line="240" w:lineRule="auto"/>
            </w:pPr>
            <w:r>
              <w:rPr>
                <w:b/>
                <w:sz w:val="20"/>
              </w:rPr>
              <w:t xml:space="preserve">comprensione </w:t>
            </w:r>
          </w:p>
          <w:p w14:paraId="2ECE73B3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1396D7F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532A8850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21BC4379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4E754DB3">
            <w:pPr>
              <w:spacing w:after="1" w:line="243" w:lineRule="auto"/>
              <w:jc w:val="both"/>
            </w:pPr>
            <w:r>
              <w:rPr>
                <w:b/>
                <w:i/>
                <w:sz w:val="20"/>
              </w:rPr>
              <w:t xml:space="preserve">DD2 </w:t>
            </w:r>
            <w:r>
              <w:rPr>
                <w:b/>
                <w:sz w:val="20"/>
              </w:rPr>
              <w:t xml:space="preserve"> Conoscenza  e  capacità  di comprensione applicate </w:t>
            </w:r>
          </w:p>
          <w:p w14:paraId="0532B694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05930A7C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7505EBCB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7F33C626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  <w:p w14:paraId="0045A64E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DD3-5 </w:t>
            </w:r>
            <w:r>
              <w:rPr>
                <w:b/>
                <w:sz w:val="20"/>
              </w:rPr>
              <w:t xml:space="preserve">Competenze trasversali </w:t>
            </w:r>
          </w:p>
          <w:p w14:paraId="0B09B39D">
            <w:pPr>
              <w:spacing w:after="0" w:line="240" w:lineRule="auto"/>
            </w:pP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09525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2730640D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246B4E9A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76540507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229FE868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2661ED85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525AE040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5DC29A89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323D9CC1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531CEEB1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</w:pPr>
          </w:p>
          <w:p w14:paraId="52B023D0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</w:t>
            </w:r>
          </w:p>
          <w:p w14:paraId="424EE57D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i/>
                <w:color w:val="FF0000"/>
                <w:sz w:val="20"/>
              </w:rPr>
            </w:pPr>
          </w:p>
          <w:p w14:paraId="53ED49BA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i/>
                <w:color w:val="FF0000"/>
                <w:sz w:val="20"/>
              </w:rPr>
            </w:pPr>
          </w:p>
          <w:p w14:paraId="19D2B98B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i/>
                <w:color w:val="FF0000"/>
                <w:sz w:val="20"/>
              </w:rPr>
            </w:pPr>
          </w:p>
          <w:p w14:paraId="72D81E25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i/>
                <w:color w:val="FF0000"/>
                <w:sz w:val="20"/>
              </w:rPr>
            </w:pPr>
          </w:p>
          <w:p w14:paraId="6EDDD1EB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i/>
                <w:color w:val="FF0000"/>
                <w:sz w:val="20"/>
              </w:rPr>
            </w:pPr>
          </w:p>
          <w:p w14:paraId="09B0901F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Al termine dell’insegnamento lo/la studente/studentessa</w:t>
            </w: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 xml:space="preserve"> dovrà conoscere le caratteristiche fondamentali dell’organizzazione amministrativa, con particolare riferimento alle modalità di individuazione dei soggetti ascrivibili alla nozione di pubblica amministrazione. Inoltre dovranno essere conosciuti e compresi I principi fondamentali dell’azione amministrativa, per come esplicitati dalla legge generale sul procedimento amministrativo.</w:t>
            </w:r>
          </w:p>
          <w:p w14:paraId="06170674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i/>
                <w:color w:val="FF0000"/>
                <w:sz w:val="20"/>
              </w:rPr>
            </w:pPr>
          </w:p>
          <w:p w14:paraId="6D448CE1">
            <w:pPr>
              <w:numPr>
                <w:numId w:val="0"/>
              </w:numPr>
              <w:spacing w:after="0" w:line="245" w:lineRule="auto"/>
              <w:ind w:right="101" w:rightChars="0"/>
              <w:jc w:val="both"/>
              <w:rPr>
                <w:i/>
                <w:color w:val="FF0000"/>
                <w:sz w:val="20"/>
              </w:rPr>
            </w:pPr>
          </w:p>
          <w:p w14:paraId="7F3BC587">
            <w:pPr>
              <w:numPr>
                <w:numId w:val="0"/>
              </w:numPr>
              <w:spacing w:after="0" w:line="240" w:lineRule="auto"/>
              <w:ind w:right="101" w:rightChars="0"/>
              <w:jc w:val="both"/>
              <w:rPr>
                <w:rFonts w:hint="default"/>
                <w:sz w:val="20"/>
                <w:szCs w:val="20"/>
                <w:lang w:val="it-IT"/>
              </w:rPr>
            </w:pP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Al termine dell’insegnamento lo/la studente/studentessa</w:t>
            </w:r>
            <w:r>
              <w:rPr>
                <w:rFonts w:hint="default"/>
                <w:sz w:val="20"/>
                <w:szCs w:val="20"/>
                <w:lang w:val="it-IT"/>
              </w:rPr>
              <w:t xml:space="preserve"> dovrà saper individuare I tratti caratterizzanti della soggettività pubblica, e abbinare a tale soggettività le conseguenze in termini di regime giuridico applicabile alla relativa attività. </w:t>
            </w:r>
          </w:p>
          <w:p w14:paraId="0E6278C4">
            <w:pPr>
              <w:numPr>
                <w:numId w:val="0"/>
              </w:numPr>
              <w:spacing w:after="0" w:line="240" w:lineRule="auto"/>
              <w:ind w:right="101" w:rightChars="0"/>
              <w:jc w:val="both"/>
            </w:pPr>
          </w:p>
          <w:p w14:paraId="1E2FA26A">
            <w:pPr>
              <w:numPr>
                <w:numId w:val="0"/>
              </w:numPr>
              <w:spacing w:after="0" w:line="240" w:lineRule="auto"/>
              <w:ind w:right="101" w:rightChars="0"/>
              <w:jc w:val="both"/>
            </w:pPr>
          </w:p>
          <w:p w14:paraId="4735B230">
            <w:pPr>
              <w:numPr>
                <w:numId w:val="0"/>
              </w:numPr>
              <w:spacing w:after="0" w:line="240" w:lineRule="auto"/>
              <w:ind w:leftChars="0" w:right="101" w:rightChars="0"/>
              <w:jc w:val="both"/>
              <w:rPr>
                <w:rFonts w:hint="default"/>
                <w:lang w:val="it-IT"/>
              </w:rPr>
            </w:pP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Al termine dell’insegnamento lo/la studente/studentessa dovrà essere in grado di</w:t>
            </w: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: distinguere le amministrazioni pubbliche dalle persone giuridiche di diritto privato; comprendere e saper applicare le norme in tema di attività amministrativa.</w:t>
            </w: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</w:tr>
      <w:tr w14:paraId="408347FE">
        <w:trPr>
          <w:trHeight w:val="6154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493A97F2">
            <w:pPr>
              <w:spacing w:after="0" w:line="240" w:lineRule="auto"/>
            </w:pP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DC249">
            <w:pPr>
              <w:spacing w:after="0" w:line="240" w:lineRule="auto"/>
              <w:ind w:left="3"/>
            </w:pPr>
          </w:p>
        </w:tc>
      </w:tr>
      <w:tr w14:paraId="3A045968">
        <w:trPr>
          <w:trHeight w:val="2210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DB8CA">
            <w:pPr>
              <w:spacing w:after="0" w:line="240" w:lineRule="auto"/>
            </w:pPr>
            <w:r>
              <w:rPr>
                <w:b/>
                <w:sz w:val="20"/>
              </w:rPr>
              <w:t xml:space="preserve">Contenuti di insegnamento (Programma)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99B37">
            <w:pPr>
              <w:numPr>
                <w:numId w:val="0"/>
              </w:numPr>
              <w:spacing w:after="0" w:line="240" w:lineRule="auto"/>
              <w:ind w:right="9" w:rightChars="0"/>
            </w:pPr>
            <w:r>
              <w:rPr>
                <w:rFonts w:hint="default"/>
                <w:lang w:val="it-IT"/>
              </w:rPr>
              <w:t>Il programma comprende I seguenti temi:</w:t>
            </w:r>
          </w:p>
          <w:p w14:paraId="417D57B4">
            <w:pPr>
              <w:numPr>
                <w:numId w:val="0"/>
              </w:numPr>
              <w:spacing w:after="0" w:line="240" w:lineRule="auto"/>
              <w:ind w:right="9" w:rightChars="0"/>
            </w:pPr>
            <w:r>
              <w:rPr>
                <w:rFonts w:hint="default"/>
                <w:lang w:val="it-IT"/>
              </w:rPr>
              <w:t>- il rapporto giuridico amministrativo;</w:t>
            </w:r>
          </w:p>
          <w:p w14:paraId="76970740">
            <w:pPr>
              <w:numPr>
                <w:numId w:val="0"/>
              </w:numPr>
              <w:spacing w:after="0" w:line="240" w:lineRule="auto"/>
              <w:ind w:right="9" w:righ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- il provvedimento;</w:t>
            </w:r>
          </w:p>
          <w:p w14:paraId="0DDE3228">
            <w:pPr>
              <w:numPr>
                <w:numId w:val="0"/>
              </w:numPr>
              <w:spacing w:after="0" w:line="240" w:lineRule="auto"/>
              <w:ind w:right="9" w:righ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- il procedimento;</w:t>
            </w:r>
          </w:p>
          <w:p w14:paraId="0023AE44">
            <w:pPr>
              <w:numPr>
                <w:numId w:val="0"/>
              </w:numPr>
              <w:spacing w:after="0" w:line="240" w:lineRule="auto"/>
              <w:ind w:right="9" w:righ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- la responsabilità;</w:t>
            </w:r>
          </w:p>
          <w:p w14:paraId="4F82B203">
            <w:pPr>
              <w:numPr>
                <w:numId w:val="0"/>
              </w:numPr>
              <w:spacing w:after="0" w:line="240" w:lineRule="auto"/>
              <w:ind w:right="9" w:righ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- l’organizzazione;</w:t>
            </w:r>
          </w:p>
          <w:p w14:paraId="59DD7127">
            <w:pPr>
              <w:numPr>
                <w:numId w:val="0"/>
              </w:numPr>
              <w:spacing w:after="0" w:line="240" w:lineRule="auto"/>
              <w:ind w:right="9" w:righ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- I servizi pubblici;</w:t>
            </w:r>
          </w:p>
          <w:p w14:paraId="619FCB2B">
            <w:pPr>
              <w:numPr>
                <w:numId w:val="0"/>
              </w:numPr>
              <w:spacing w:after="0" w:line="240" w:lineRule="auto"/>
              <w:ind w:right="9" w:righ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- I beni pubblici;</w:t>
            </w:r>
          </w:p>
          <w:p w14:paraId="1B2B7FC0">
            <w:pPr>
              <w:numPr>
                <w:numId w:val="0"/>
              </w:numPr>
              <w:spacing w:after="0" w:line="240" w:lineRule="auto"/>
              <w:ind w:right="9" w:rightChars="0"/>
              <w:rPr>
                <w:rFonts w:hint="default"/>
                <w:lang w:val="it-IT"/>
              </w:rPr>
            </w:pPr>
            <w:r>
              <w:rPr>
                <w:rFonts w:hint="default"/>
                <w:lang w:val="it-IT"/>
              </w:rPr>
              <w:t>- I contratti.</w:t>
            </w:r>
          </w:p>
        </w:tc>
      </w:tr>
      <w:tr w14:paraId="14142719">
        <w:trPr>
          <w:trHeight w:val="497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6CF1C">
            <w:pPr>
              <w:spacing w:after="0" w:line="240" w:lineRule="auto"/>
            </w:pPr>
            <w:r>
              <w:rPr>
                <w:b/>
                <w:sz w:val="20"/>
              </w:rPr>
              <w:t xml:space="preserve">Testi di riferimento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13968">
            <w:pPr>
              <w:numPr>
                <w:ilvl w:val="0"/>
                <w:numId w:val="1"/>
              </w:numPr>
              <w:spacing w:after="0" w:line="240" w:lineRule="auto"/>
              <w:ind w:left="3"/>
              <w:rPr>
                <w:i w:val="0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Clarich, Manuale di diritto amministrativo, il Mulino, ultima edizione (sono esclusi I seguenti capitoli: Introduzione; I controlli; il personale; la giustizia)</w:t>
            </w:r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2E851D9">
            <w:pPr>
              <w:numPr>
                <w:numId w:val="0"/>
              </w:numPr>
              <w:spacing w:after="0" w:line="240" w:lineRule="auto"/>
              <w:rPr>
                <w:rFonts w:hint="default"/>
                <w:i w:val="0"/>
                <w:i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118167">
        <w:trPr>
          <w:trHeight w:val="499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C952A">
            <w:pPr>
              <w:spacing w:after="0" w:line="240" w:lineRule="auto"/>
            </w:pPr>
            <w:r>
              <w:rPr>
                <w:b/>
                <w:sz w:val="20"/>
              </w:rPr>
              <w:t xml:space="preserve">Note ai testi di riferimento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3571C">
            <w:pPr>
              <w:spacing w:after="0" w:line="240" w:lineRule="auto"/>
              <w:ind w:left="3"/>
              <w:rPr>
                <w:rFonts w:hint="default"/>
                <w:i w:val="0"/>
                <w:i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----</w:t>
            </w:r>
          </w:p>
        </w:tc>
      </w:tr>
      <w:tr w14:paraId="17D390DF">
        <w:trPr>
          <w:trHeight w:val="743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DF0AF">
            <w:pPr>
              <w:spacing w:after="0" w:line="240" w:lineRule="auto"/>
            </w:pPr>
            <w:r>
              <w:rPr>
                <w:b/>
                <w:sz w:val="20"/>
              </w:rPr>
              <w:t xml:space="preserve">Materiali didattici </w:t>
            </w:r>
          </w:p>
        </w:tc>
        <w:tc>
          <w:tcPr>
            <w:tcW w:w="6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27401E">
            <w:pPr>
              <w:spacing w:after="0" w:line="240" w:lineRule="auto"/>
              <w:ind w:left="3" w:right="71"/>
              <w:rPr>
                <w:rFonts w:hint="default"/>
                <w:i w:val="0"/>
                <w:iCs/>
                <w:color w:val="000000" w:themeColor="text1"/>
                <w:lang w:val="it-I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i w:val="0"/>
                <w:iCs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---</w:t>
            </w:r>
          </w:p>
        </w:tc>
      </w:tr>
    </w:tbl>
    <w:p w14:paraId="2A6989EA">
      <w:pPr>
        <w:spacing w:after="0"/>
        <w:jc w:val="both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 xml:space="preserve"> </w:t>
      </w:r>
    </w:p>
    <w:tbl>
      <w:tblPr>
        <w:tblStyle w:val="7"/>
        <w:tblW w:w="9751" w:type="dxa"/>
        <w:tblInd w:w="-108" w:type="dxa"/>
        <w:tblLayout w:type="autofit"/>
        <w:tblCellMar>
          <w:top w:w="0" w:type="dxa"/>
          <w:left w:w="106" w:type="dxa"/>
          <w:bottom w:w="0" w:type="dxa"/>
          <w:right w:w="70" w:type="dxa"/>
        </w:tblCellMar>
      </w:tblPr>
      <w:tblGrid>
        <w:gridCol w:w="2"/>
        <w:gridCol w:w="2897"/>
        <w:gridCol w:w="6852"/>
      </w:tblGrid>
      <w:tr w14:paraId="2CAFB641">
        <w:trPr>
          <w:gridBefore w:val="1"/>
          <w:wBefore w:w="2" w:type="dxa"/>
          <w:trHeight w:val="303" w:hRule="atLeast"/>
        </w:trPr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2DDC93C0">
            <w:pPr>
              <w:spacing w:after="0" w:line="240" w:lineRule="auto"/>
            </w:pPr>
            <w:r>
              <w:rPr>
                <w:rFonts w:ascii="Gill Sans MT" w:hAnsi="Gill Sans MT" w:eastAsia="Gill Sans MT" w:cs="Gill Sans MT"/>
                <w:b/>
              </w:rPr>
              <w:t xml:space="preserve">Valutazione  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CFA01">
            <w:pPr>
              <w:spacing w:after="0" w:line="240" w:lineRule="auto"/>
              <w:ind w:left="3"/>
              <w:rPr>
                <w:rFonts w:hint="default"/>
                <w:lang w:val="it-IT"/>
              </w:rPr>
            </w:pPr>
            <w:r>
              <w:rPr>
                <w:color w:val="FF0000"/>
                <w:sz w:val="20"/>
              </w:rPr>
              <w:t xml:space="preserve"> </w:t>
            </w:r>
            <w:r>
              <w:rPr>
                <w:rFonts w:hint="default"/>
                <w:color w:val="000000" w:themeColor="text1"/>
                <w:sz w:val="20"/>
                <w:lang w:val="it-IT"/>
                <w14:textFill>
                  <w14:solidFill>
                    <w14:schemeClr w14:val="tx1"/>
                  </w14:solidFill>
                </w14:textFill>
              </w:rPr>
              <w:t>Esame di profitto in forma orale</w:t>
            </w:r>
          </w:p>
        </w:tc>
      </w:tr>
      <w:tr w14:paraId="5B44E925"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4458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AB627">
            <w:pPr>
              <w:spacing w:after="0" w:line="240" w:lineRule="auto"/>
            </w:pPr>
            <w:r>
              <w:rPr>
                <w:sz w:val="20"/>
              </w:rPr>
              <w:t xml:space="preserve">Criteri di valutazione  </w:t>
            </w:r>
          </w:p>
          <w:p w14:paraId="38DABEC6">
            <w:pPr>
              <w:spacing w:after="0" w:line="240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D58C25">
            <w:pPr>
              <w:spacing w:after="57" w:line="248" w:lineRule="auto"/>
              <w:ind w:right="48"/>
              <w:jc w:val="both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  <w:p w14:paraId="5E576ADC">
            <w:pPr>
              <w:numPr>
                <w:numId w:val="0"/>
              </w:numPr>
              <w:spacing w:after="56" w:line="255" w:lineRule="auto"/>
              <w:ind w:leftChars="0" w:right="4288" w:rightChars="0"/>
              <w:rPr>
                <w:rFonts w:hint="default"/>
                <w:lang w:val="it-IT"/>
              </w:rPr>
            </w:pPr>
            <w:r>
              <w:rPr>
                <w:i/>
                <w:sz w:val="20"/>
              </w:rPr>
              <w:t>Conoscenza e capacità di comprensione:</w:t>
            </w:r>
            <w:r>
              <w:rPr>
                <w:rFonts w:hint="default"/>
                <w:i/>
                <w:sz w:val="20"/>
                <w:lang w:val="it-IT"/>
              </w:rPr>
              <w:t>Saper illustrare il percorso logico e argomentativo attraverso il quale individuare un soggetto come pubblica amministrazione e applicare il relativo regime giuridico.</w:t>
            </w:r>
          </w:p>
          <w:p w14:paraId="2D6E3598">
            <w:pPr>
              <w:numPr>
                <w:numId w:val="0"/>
              </w:numPr>
              <w:spacing w:after="56" w:line="255" w:lineRule="auto"/>
              <w:ind w:leftChars="0" w:right="4288" w:rightChars="0"/>
            </w:pPr>
            <w:r>
              <w:rPr>
                <w:rFonts w:ascii="Arial" w:hAnsi="Arial" w:eastAsia="Arial" w:cs="Arial"/>
                <w:sz w:val="20"/>
              </w:rPr>
              <w:tab/>
            </w:r>
            <w:r>
              <w:rPr>
                <w:sz w:val="20"/>
              </w:rPr>
              <w:t xml:space="preserve"> </w:t>
            </w:r>
          </w:p>
          <w:p w14:paraId="780ACD00">
            <w:pPr>
              <w:numPr>
                <w:numId w:val="0"/>
              </w:numPr>
              <w:spacing w:after="54" w:line="255" w:lineRule="auto"/>
              <w:ind w:leftChars="0" w:right="4288" w:rightChars="0"/>
            </w:pPr>
            <w:r>
              <w:rPr>
                <w:i/>
                <w:sz w:val="20"/>
              </w:rPr>
              <w:t xml:space="preserve">Conoscenza e capacità di comprensione applicate: </w:t>
            </w:r>
            <w:r>
              <w:rPr>
                <w:rFonts w:hint="default"/>
                <w:i/>
                <w:sz w:val="20"/>
                <w:lang w:val="it-IT"/>
              </w:rPr>
              <w:t>conoscenza del quadro normativo e comprensione dei relativi contenuti</w:t>
            </w:r>
            <w:r>
              <w:rPr>
                <w:rFonts w:ascii="Arial" w:hAnsi="Arial" w:eastAsia="Arial" w:cs="Arial"/>
                <w:sz w:val="20"/>
              </w:rPr>
              <w:tab/>
            </w:r>
            <w:r>
              <w:rPr>
                <w:sz w:val="20"/>
              </w:rPr>
              <w:t xml:space="preserve"> </w:t>
            </w:r>
          </w:p>
          <w:p w14:paraId="169B34CA">
            <w:pPr>
              <w:numPr>
                <w:numId w:val="0"/>
              </w:numPr>
              <w:spacing w:after="0" w:line="240" w:lineRule="auto"/>
              <w:ind w:leftChars="0" w:right="4288" w:rightChars="0"/>
            </w:pPr>
          </w:p>
        </w:tc>
      </w:tr>
      <w:tr w14:paraId="6148CD39"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3184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B12061">
            <w:pPr>
              <w:spacing w:after="0" w:line="240" w:lineRule="auto"/>
            </w:pPr>
            <w:r>
              <w:rPr>
                <w:sz w:val="20"/>
              </w:rPr>
              <w:t xml:space="preserve">Criteri di misurazione dell'apprendimento e di attribuzione del voto finale 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CA578">
            <w:pPr>
              <w:spacing w:after="0" w:line="240" w:lineRule="auto"/>
              <w:ind w:right="169"/>
              <w:jc w:val="both"/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i w:val="0"/>
                <w:i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Il  voto  finale  è attribuito in trentesimi. L’esame si intende superato quando il voto è maggiore o uguale a 18</w:t>
            </w:r>
          </w:p>
          <w:p w14:paraId="0F3437AE">
            <w:pPr>
              <w:spacing w:after="0" w:line="240" w:lineRule="auto"/>
              <w:ind w:right="169"/>
              <w:jc w:val="both"/>
            </w:pPr>
          </w:p>
        </w:tc>
      </w:tr>
      <w:tr w14:paraId="73E2C343"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5FAB2">
            <w:pPr>
              <w:spacing w:after="0" w:line="240" w:lineRule="auto"/>
            </w:pP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9F4339">
            <w:pPr>
              <w:spacing w:after="0" w:line="240" w:lineRule="auto"/>
              <w:ind w:left="3"/>
            </w:pPr>
            <w:r>
              <w:rPr>
                <w:i/>
                <w:color w:val="FF0000"/>
                <w:sz w:val="20"/>
              </w:rPr>
              <w:t xml:space="preserve"> </w:t>
            </w:r>
          </w:p>
        </w:tc>
      </w:tr>
      <w:tr w14:paraId="343B6A17"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2A1C7"/>
          </w:tcPr>
          <w:p w14:paraId="5D69CE36">
            <w:pPr>
              <w:spacing w:after="0" w:line="240" w:lineRule="auto"/>
            </w:pPr>
            <w:r>
              <w:rPr>
                <w:rFonts w:ascii="Gill Sans MT" w:hAnsi="Gill Sans MT" w:eastAsia="Gill Sans MT" w:cs="Gill Sans MT"/>
                <w:b/>
              </w:rPr>
              <w:t xml:space="preserve">Altro  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18C49C">
            <w:pPr>
              <w:spacing w:after="0" w:line="240" w:lineRule="auto"/>
              <w:ind w:left="3"/>
            </w:pPr>
            <w:r>
              <w:rPr>
                <w:color w:val="FF0000"/>
                <w:sz w:val="20"/>
              </w:rPr>
              <w:t xml:space="preserve"> </w:t>
            </w:r>
          </w:p>
        </w:tc>
      </w:tr>
      <w:tr w14:paraId="410F4032">
        <w:tblPrEx>
          <w:tblCellMar>
            <w:top w:w="0" w:type="dxa"/>
            <w:left w:w="106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8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1D0E4">
            <w:pPr>
              <w:spacing w:after="0" w:line="240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7A12E">
            <w:pPr>
              <w:spacing w:after="0" w:line="240" w:lineRule="auto"/>
              <w:ind w:left="3"/>
            </w:pPr>
            <w:r>
              <w:rPr>
                <w:sz w:val="20"/>
              </w:rPr>
              <w:t xml:space="preserve">. </w:t>
            </w:r>
          </w:p>
        </w:tc>
      </w:tr>
    </w:tbl>
    <w:p w14:paraId="0E020CCE">
      <w:pPr>
        <w:spacing w:after="0"/>
        <w:jc w:val="both"/>
      </w:pPr>
      <w:r>
        <w:rPr>
          <w:b/>
          <w:color w:val="2E74B5"/>
          <w:sz w:val="28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899" w:h="16841"/>
      <w:pgMar w:top="2266" w:right="1129" w:bottom="1287" w:left="1133" w:header="730" w:footer="7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Gill Sans MT">
    <w:altName w:val="苹方-简"/>
    <w:panose1 w:val="020B0502020104020203"/>
    <w:charset w:val="00"/>
    <w:family w:val="swiss"/>
    <w:pitch w:val="default"/>
    <w:sig w:usb0="00000000" w:usb1="00000000" w:usb2="00000000" w:usb3="00000000" w:csb0="00000003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等线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101DF">
    <w:pPr>
      <w:tabs>
        <w:tab w:val="right" w:pos="9636"/>
      </w:tabs>
      <w:spacing w:after="0"/>
    </w:pPr>
    <w:r>
      <w:rPr>
        <w:rFonts w:ascii="Cambria" w:hAnsi="Cambria" w:eastAsia="Cambria" w:cs="Cambria"/>
        <w:sz w:val="24"/>
      </w:rPr>
      <w:t xml:space="preserve"> </w:t>
    </w:r>
    <w:r>
      <w:rPr>
        <w:rFonts w:ascii="Cambria" w:hAnsi="Cambria" w:eastAsia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 w:eastAsia="Cambria" w:cs="Cambria"/>
        <w:sz w:val="24"/>
      </w:rPr>
      <w:t>1</w:t>
    </w:r>
    <w:r>
      <w:rPr>
        <w:rFonts w:ascii="Cambria" w:hAnsi="Cambria" w:eastAsia="Cambria" w:cs="Cambria"/>
        <w:sz w:val="24"/>
      </w:rPr>
      <w:fldChar w:fldCharType="end"/>
    </w:r>
    <w:r>
      <w:rPr>
        <w:rFonts w:ascii="Cambria" w:hAnsi="Cambria" w:eastAsia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9BEA3">
    <w:pPr>
      <w:tabs>
        <w:tab w:val="right" w:pos="9636"/>
      </w:tabs>
      <w:spacing w:after="0"/>
    </w:pPr>
    <w:r>
      <w:rPr>
        <w:rFonts w:ascii="Cambria" w:hAnsi="Cambria" w:eastAsia="Cambria" w:cs="Cambria"/>
        <w:sz w:val="24"/>
      </w:rPr>
      <w:t xml:space="preserve"> </w:t>
    </w:r>
    <w:r>
      <w:rPr>
        <w:rFonts w:ascii="Cambria" w:hAnsi="Cambria" w:eastAsia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 w:eastAsia="Cambria" w:cs="Cambria"/>
        <w:sz w:val="24"/>
      </w:rPr>
      <w:t>1</w:t>
    </w:r>
    <w:r>
      <w:rPr>
        <w:rFonts w:ascii="Cambria" w:hAnsi="Cambria" w:eastAsia="Cambria" w:cs="Cambria"/>
        <w:sz w:val="24"/>
      </w:rPr>
      <w:fldChar w:fldCharType="end"/>
    </w:r>
    <w:r>
      <w:rPr>
        <w:rFonts w:ascii="Cambria" w:hAnsi="Cambria" w:eastAsia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2CC46">
    <w:pPr>
      <w:tabs>
        <w:tab w:val="right" w:pos="9636"/>
      </w:tabs>
      <w:spacing w:after="0"/>
    </w:pPr>
    <w:r>
      <w:rPr>
        <w:rFonts w:ascii="Cambria" w:hAnsi="Cambria" w:eastAsia="Cambria" w:cs="Cambria"/>
        <w:sz w:val="24"/>
      </w:rPr>
      <w:t xml:space="preserve"> </w:t>
    </w:r>
    <w:r>
      <w:rPr>
        <w:rFonts w:ascii="Cambria" w:hAnsi="Cambria" w:eastAsia="Cambria" w:cs="Cambria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hAnsi="Cambria" w:eastAsia="Cambria" w:cs="Cambria"/>
        <w:sz w:val="24"/>
      </w:rPr>
      <w:t>1</w:t>
    </w:r>
    <w:r>
      <w:rPr>
        <w:rFonts w:ascii="Cambria" w:hAnsi="Cambria" w:eastAsia="Cambria" w:cs="Cambria"/>
        <w:sz w:val="24"/>
      </w:rPr>
      <w:fldChar w:fldCharType="end"/>
    </w:r>
    <w:r>
      <w:rPr>
        <w:rFonts w:ascii="Cambria" w:hAnsi="Cambria" w:eastAsia="Cambria" w:cs="Cambria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pPr w:leftFromText="141" w:rightFromText="141" w:vertAnchor="text" w:horzAnchor="margin" w:tblpXSpec="center" w:tblpY="-2265"/>
      <w:tblW w:w="9781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5584"/>
      <w:gridCol w:w="4197"/>
    </w:tblGrid>
    <w:tr w14:paraId="515703DB">
      <w:trPr>
        <w:trHeight w:val="558" w:hRule="atLeast"/>
      </w:trPr>
      <w:tc>
        <w:tcPr>
          <w:tcW w:w="5584" w:type="dxa"/>
          <w:shd w:val="clear" w:color="auto" w:fill="auto"/>
        </w:tcPr>
        <w:p w14:paraId="1589BBA2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</w:p>
        <w:p w14:paraId="5FEFE2BB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  <w:r>
            <w:rPr>
              <w:rFonts w:ascii="Garamond" w:hAnsi="Garamond"/>
              <w:smallCaps/>
              <w:sz w:val="24"/>
              <w:szCs w:val="24"/>
            </w:rPr>
            <w:t>Università degli Studi</w:t>
          </w:r>
        </w:p>
        <w:p w14:paraId="10DA1892">
          <w:pPr>
            <w:spacing w:after="120"/>
            <w:jc w:val="center"/>
            <w:rPr>
              <w:rFonts w:ascii="Garamond" w:hAnsi="Garamond"/>
              <w:smallCaps/>
              <w:sz w:val="24"/>
              <w:szCs w:val="24"/>
            </w:rPr>
          </w:pPr>
          <w:r>
            <w:rPr>
              <w:rFonts w:ascii="Garamond" w:hAnsi="Garamond"/>
              <w:smallCaps/>
              <w:sz w:val="24"/>
              <w:szCs w:val="24"/>
            </w:rPr>
            <w:t xml:space="preserve"> «Magna Græcia» di Catanzaro</w:t>
          </w:r>
        </w:p>
        <w:p w14:paraId="19ED5D74">
          <w:pPr>
            <w:tabs>
              <w:tab w:val="left" w:pos="175"/>
              <w:tab w:val="center" w:pos="4365"/>
            </w:tabs>
            <w:ind w:left="-67"/>
            <w:jc w:val="center"/>
            <w:rPr>
              <w:rFonts w:ascii="Garamond" w:hAnsi="Garamond"/>
              <w:smallCaps/>
              <w:sz w:val="24"/>
              <w:szCs w:val="24"/>
            </w:rPr>
          </w:pPr>
          <w:r>
            <w:rPr>
              <w:rFonts w:ascii="Garamond" w:hAnsi="Garamond"/>
              <w:smallCaps/>
              <w:sz w:val="24"/>
              <w:szCs w:val="24"/>
            </w:rPr>
            <w:t>Dipartimento di Giurisprudenza, Economia e Sociologia (DiGES)</w:t>
          </w:r>
        </w:p>
        <w:p w14:paraId="4226D866">
          <w:pPr>
            <w:spacing w:after="120"/>
            <w:jc w:val="center"/>
            <w:rPr>
              <w:rFonts w:ascii="Garamond" w:hAnsi="Garamond"/>
              <w:smallCaps/>
              <w:sz w:val="32"/>
              <w:szCs w:val="32"/>
            </w:rPr>
          </w:pPr>
        </w:p>
      </w:tc>
      <w:tc>
        <w:tcPr>
          <w:tcW w:w="4197" w:type="dxa"/>
          <w:shd w:val="clear" w:color="auto" w:fill="auto"/>
        </w:tcPr>
        <w:p w14:paraId="67488FCD">
          <w:pPr>
            <w:spacing w:after="120"/>
            <w:jc w:val="center"/>
          </w:pPr>
        </w:p>
        <w:p w14:paraId="65C1A800">
          <w:pPr>
            <w:spacing w:after="120"/>
            <w:jc w:val="center"/>
            <w:rPr>
              <w:rFonts w:ascii="Garamond" w:hAnsi="Garamond"/>
              <w:smallCaps/>
              <w:sz w:val="32"/>
              <w:szCs w:val="32"/>
            </w:rPr>
          </w:pPr>
          <w:r>
            <w:drawing>
              <wp:inline distT="0" distB="0" distL="0" distR="0">
                <wp:extent cx="1166495" cy="914400"/>
                <wp:effectExtent l="0" t="0" r="0" b="0"/>
                <wp:docPr id="1" name="Immagine 1" descr="Immagine che contiene cerchio, Elementi grafici, Carattere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cerchio, Elementi grafici, Carattere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64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7BB6C4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7C252">
    <w:pPr>
      <w:spacing w:after="0"/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264160</wp:posOffset>
              </wp:positionH>
              <wp:positionV relativeFrom="page">
                <wp:posOffset>1021080</wp:posOffset>
              </wp:positionV>
              <wp:extent cx="6743700" cy="19685"/>
              <wp:effectExtent l="0" t="0" r="0" b="0"/>
              <wp:wrapSquare wrapText="bothSides"/>
              <wp:docPr id="8" name="Group 114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3700" cy="19685"/>
                        <a:chOff x="0" y="0"/>
                        <a:chExt cx="6743878" cy="19800"/>
                      </a:xfrm>
                    </wpg:grpSpPr>
                    <wps:wsp>
                      <wps:cNvPr id="9" name="Shape 11465"/>
                      <wps:cNvSpPr/>
                      <wps:spPr>
                        <a:xfrm>
                          <a:off x="0" y="1980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1466"/>
                      <wps:cNvSpPr/>
                      <wps:spPr>
                        <a:xfrm>
                          <a:off x="0" y="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1464" o:spid="_x0000_s1026" o:spt="203" style="position:absolute;left:0pt;margin-left:20.8pt;margin-top:80.4pt;height:1.55pt;width:531pt;mso-position-horizontal-relative:page;mso-position-vertical-relative:page;mso-wrap-distance-bottom:0pt;mso-wrap-distance-left:9pt;mso-wrap-distance-right:9pt;mso-wrap-distance-top:0pt;z-index:251659264;mso-width-relative:page;mso-height-relative:page;" coordsize="6743878,19800" o:gfxdata="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0p9MPYAAAACwEAAA8AAAAAAAAAAQAgAAAA&#10;IgAAAGRycy9kb3ducmV2LnhtbFBLAQIUABQAAAAIAIdO4kA0zP8bfQIAAAUIAAAOAAAAAAAAAAEA&#10;IAAAACcBAABkcnMvZTJvRG9jLnhtbFBLBQYAAAAABgAGAFkBAAAWBgAAAAA=&#10;">
              <o:lock v:ext="edit" aspectratio="f"/>
              <v:shape id="Shape 11465" o:spid="_x0000_s1026" o:spt="100" style="position:absolute;left:0;top:19800;height:0;width:6743878;" filled="f" stroked="t" coordsize="6743878,1" o:gfxdata="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escLugAAANoA&#10;AAAPAAAAAAAAAAEAIAAAACIAAABkcnMvZG93bnJldi54bWxQSwECFAAUAAAACACHTuJAMy8FnjsA&#10;AAA5AAAAEAAAAAAAAAABACAAAAAJAQAAZHJzL3NoYXBleG1sLnhtbFBLBQYAAAAABgAGAFsBAACz&#10;AwAAAAA=&#10;" path="m0,0l6743878,0e">
                <v:fill on="f" focussize="0,0"/>
                <v:stroke weight="0.737007874015748pt" color="#808080" miterlimit="8" joinstyle="round" endcap="round"/>
                <v:imagedata o:title=""/>
                <o:lock v:ext="edit" aspectratio="f"/>
              </v:shape>
              <v:shape id="Shape 11466" o:spid="_x0000_s1026" o:spt="100" style="position:absolute;left:0;top:0;height:0;width:6743878;" filled="f" stroked="t" coordsize="6743878,1" o:gfxdata="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Ta3pvQAA&#10;ANsAAAAPAAAAAAAAAAEAIAAAACIAAABkcnMvZG93bnJldi54bWxQSwECFAAUAAAACACHTuJAMy8F&#10;njsAAAA5AAAAEAAAAAAAAAABACAAAAAMAQAAZHJzL3NoYXBleG1sLnhtbFBLBQYAAAAABgAGAFsB&#10;AAC2AwAAAAA=&#10;" path="m0,0l6743878,0e">
                <v:fill on="f" focussize="0,0"/>
                <v:stroke weight="0.737007874015748pt" color="#4F81BD" miterlimit="8" joinstyle="round" endcap="round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Lucida Sans Unicode" w:hAnsi="Lucida Sans Unicode" w:eastAsia="Lucida Sans Unicode" w:cs="Lucida Sans Unicode"/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4C1FF">
    <w:pPr>
      <w:spacing w:after="0"/>
    </w:pPr>
    <w: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264160</wp:posOffset>
              </wp:positionH>
              <wp:positionV relativeFrom="page">
                <wp:posOffset>1021080</wp:posOffset>
              </wp:positionV>
              <wp:extent cx="6743700" cy="19685"/>
              <wp:effectExtent l="0" t="0" r="0" b="0"/>
              <wp:wrapSquare wrapText="bothSides"/>
              <wp:docPr id="2" name="Group 114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3700" cy="19685"/>
                        <a:chOff x="0" y="0"/>
                        <a:chExt cx="6743878" cy="19800"/>
                      </a:xfrm>
                    </wpg:grpSpPr>
                    <wps:wsp>
                      <wps:cNvPr id="3" name="Shape 11429"/>
                      <wps:cNvSpPr/>
                      <wps:spPr>
                        <a:xfrm>
                          <a:off x="0" y="1980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1430"/>
                      <wps:cNvSpPr/>
                      <wps:spPr>
                        <a:xfrm>
                          <a:off x="0" y="0"/>
                          <a:ext cx="6743878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3878">
                              <a:moveTo>
                                <a:pt x="0" y="0"/>
                              </a:moveTo>
                              <a:lnTo>
                                <a:pt x="6743878" y="0"/>
                              </a:lnTo>
                            </a:path>
                          </a:pathLst>
                        </a:custGeom>
                        <a:ln w="9360" cap="rnd">
                          <a:round/>
                        </a:ln>
                      </wps:spPr>
                      <wps:style>
                        <a:lnRef idx="1">
                          <a:srgbClr val="4F81BD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1428" o:spid="_x0000_s1026" o:spt="203" style="position:absolute;left:0pt;margin-left:20.8pt;margin-top:80.4pt;height:1.55pt;width:531pt;mso-position-horizontal-relative:page;mso-position-vertical-relative:page;mso-wrap-distance-bottom:0pt;mso-wrap-distance-left:9pt;mso-wrap-distance-right:9pt;mso-wrap-distance-top:0pt;z-index:251660288;mso-width-relative:page;mso-height-relative:page;" coordsize="6743878,19800" o:gfxdata="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DtKfTD2AAAAAsBAAAPAAAAAAAAAAEAIAAAACIA&#10;AABkcnMvZG93bnJldi54bWxQSwECFAAUAAAACACHTuJAVMNtNnsCAAAECAAADgAAAAAAAAABACAA&#10;AAAnAQAAZHJzL2Uyb0RvYy54bWxQSwUGAAAAAAYABgBZAQAAFAYAAAAA&#10;">
              <o:lock v:ext="edit" aspectratio="f"/>
              <v:shape id="Shape 11429" o:spid="_x0000_s1026" o:spt="100" style="position:absolute;left:0;top:19800;height:0;width:6743878;" filled="f" stroked="t" coordsize="6743878,1" o:gfxdata="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JLw4bsAAADa&#10;AAAADwAAAAAAAAABACAAAAAiAAAAZHJzL2Rvd25yZXYueG1sUEsBAhQAFAAAAAgAh07iQDMvBZ47&#10;AAAAOQAAABAAAAAAAAAAAQAgAAAACgEAAGRycy9zaGFwZXhtbC54bWxQSwUGAAAAAAYABgBbAQAA&#10;tAMAAAAA&#10;" path="m0,0l6743878,0e">
                <v:fill on="f" focussize="0,0"/>
                <v:stroke weight="0.737007874015748pt" color="#808080" miterlimit="8" joinstyle="round" endcap="round"/>
                <v:imagedata o:title=""/>
                <o:lock v:ext="edit" aspectratio="f"/>
              </v:shape>
              <v:shape id="Shape 11430" o:spid="_x0000_s1026" o:spt="100" style="position:absolute;left:0;top:0;height:0;width:6743878;" filled="f" stroked="t" coordsize="6743878,1" o:gfxdata="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6idlugAAANoA&#10;AAAPAAAAAAAAAAEAIAAAACIAAABkcnMvZG93bnJldi54bWxQSwECFAAUAAAACACHTuJAMy8FnjsA&#10;AAA5AAAAEAAAAAAAAAABACAAAAAJAQAAZHJzL3NoYXBleG1sLnhtbFBLBQYAAAAABgAGAFsBAACz&#10;AwAAAAA=&#10;" path="m0,0l6743878,0e">
                <v:fill on="f" focussize="0,0"/>
                <v:stroke weight="0.737007874015748pt" color="#4F81BD" miterlimit="8" joinstyle="round" endcap="round"/>
                <v:imagedata o:title=""/>
                <o:lock v:ext="edit" aspectratio="f"/>
              </v:shape>
              <w10:wrap type="square"/>
            </v:group>
          </w:pict>
        </mc:Fallback>
      </mc:AlternateContent>
    </w:r>
    <w:r>
      <w:rPr>
        <w:rFonts w:ascii="Lucida Sans Unicode" w:hAnsi="Lucida Sans Unicode" w:eastAsia="Lucida Sans Unicode" w:cs="Lucida Sans Unicode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969B0"/>
    <w:multiLevelType w:val="singleLevel"/>
    <w:tmpl w:val="DF1969B0"/>
    <w:lvl w:ilvl="0" w:tentative="0">
      <w:start w:val="13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74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D9"/>
    <w:rsid w:val="004C1667"/>
    <w:rsid w:val="004C64F4"/>
    <w:rsid w:val="007121D9"/>
    <w:rsid w:val="00723063"/>
    <w:rsid w:val="00745166"/>
    <w:rsid w:val="009C5048"/>
    <w:rsid w:val="00A10D9C"/>
    <w:rsid w:val="00B5486A"/>
    <w:rsid w:val="00BF044A"/>
    <w:rsid w:val="00C8194D"/>
    <w:rsid w:val="00F61145"/>
    <w:rsid w:val="5FF6D827"/>
    <w:rsid w:val="7BA76BA5"/>
    <w:rsid w:val="DF96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it-IT" w:eastAsia="it-IT" w:bidi="ar-SA"/>
    </w:rPr>
  </w:style>
  <w:style w:type="paragraph" w:styleId="2">
    <w:name w:val="heading 1"/>
    <w:next w:val="1"/>
    <w:link w:val="6"/>
    <w:qFormat/>
    <w:uiPriority w:val="9"/>
    <w:pPr>
      <w:keepNext/>
      <w:keepLines/>
      <w:spacing w:after="407" w:line="259" w:lineRule="auto"/>
      <w:ind w:left="226" w:hanging="10"/>
      <w:jc w:val="center"/>
      <w:outlineLvl w:val="0"/>
    </w:pPr>
    <w:rPr>
      <w:rFonts w:ascii="Calibri" w:hAnsi="Calibri" w:eastAsia="Calibri" w:cs="Calibri"/>
      <w:color w:val="1F324C"/>
      <w:sz w:val="40"/>
      <w:szCs w:val="22"/>
      <w:lang w:val="it-IT" w:eastAsia="it-IT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  <w:rPr>
      <w:rFonts w:cs="Times New Roman" w:asciiTheme="minorHAnsi" w:hAnsiTheme="minorHAnsi" w:eastAsiaTheme="minorEastAsia"/>
      <w:color w:val="auto"/>
    </w:rPr>
  </w:style>
  <w:style w:type="character" w:customStyle="1" w:styleId="6">
    <w:name w:val="Titolo 1 Carattere"/>
    <w:link w:val="2"/>
    <w:uiPriority w:val="0"/>
    <w:rPr>
      <w:rFonts w:ascii="Calibri" w:hAnsi="Calibri" w:eastAsia="Calibri" w:cs="Calibri"/>
      <w:color w:val="1F324C"/>
      <w:sz w:val="40"/>
    </w:rPr>
  </w:style>
  <w:style w:type="table" w:customStyle="1" w:styleId="7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Intestazione Carattere"/>
    <w:basedOn w:val="3"/>
    <w:link w:val="5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1774</Words>
  <Characters>10930</Characters>
  <Lines>303</Lines>
  <Paragraphs>141</Paragraphs>
  <TotalTime>30</TotalTime>
  <ScaleCrop>false</ScaleCrop>
  <LinksUpToDate>false</LinksUpToDate>
  <CharactersWithSpaces>12563</CharactersWithSpaces>
  <Application>WPS Office_6.12.2.8699_F1E327BC-269C-435d-A152-05C5408002CA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2025-05-21T12:10:00Z</dcterms:created>
  <dc:creator>Anna L. Melania Sia</dc:creator>
  <cp:lastModifiedBy>giuseppetropea</cp:lastModifiedBy>
  <dcterms:modified xsi:type="dcterms:W3CDTF">2025-08-05T07:35:46Z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40cd74ba-d96b-4cfe-8cc5-ee254b6fbe61</vt:lpwstr>
  </property>
  <property fmtid="{D5CDD505-2E9C-101B-9397-08002B2CF9AE}" pid="3" name="KSOProductBuildVer">
    <vt:lpwstr>1033-6.12.2.8699</vt:lpwstr>
  </property>
  <property fmtid="{D5CDD505-2E9C-101B-9397-08002B2CF9AE}" pid="4" name="ICV">
    <vt:lpwstr>DFDC87C40C86630232989168E32AD582_43</vt:lpwstr>
  </property>
</Properties>
</file>